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4FCA" w14:textId="77777777" w:rsidR="00807C4B" w:rsidRDefault="00807C4B" w:rsidP="00054E0A">
      <w:pPr>
        <w:pStyle w:val="NoSpacing"/>
        <w:jc w:val="both"/>
        <w:rPr>
          <w:rFonts w:eastAsia="Times New Roman" w:cs="Arial"/>
          <w:b/>
          <w:bCs/>
          <w:szCs w:val="24"/>
        </w:rPr>
      </w:pPr>
      <w:bookmarkStart w:id="0" w:name="_Hlk151381331"/>
      <w:bookmarkEnd w:id="0"/>
    </w:p>
    <w:p w14:paraId="185A545B" w14:textId="49CFB8E8" w:rsidR="009D6EB3" w:rsidRDefault="00840E38" w:rsidP="009D6EB3">
      <w:pPr>
        <w:spacing w:after="0" w:line="240" w:lineRule="auto"/>
        <w:rPr>
          <w:rFonts w:ascii="Arial" w:hAnsi="Arial" w:cs="Arial"/>
          <w:sz w:val="24"/>
          <w:szCs w:val="24"/>
        </w:rPr>
      </w:pPr>
      <w:bookmarkStart w:id="1" w:name="_Hlk129093112"/>
      <w:r w:rsidRPr="00555E03">
        <w:rPr>
          <w:rFonts w:ascii="Arial" w:hAnsi="Arial" w:cs="Arial"/>
          <w:b/>
          <w:bCs/>
          <w:sz w:val="24"/>
          <w:szCs w:val="24"/>
        </w:rPr>
        <w:t xml:space="preserve">APPENDIX </w:t>
      </w:r>
      <w:r>
        <w:rPr>
          <w:rFonts w:ascii="Arial" w:hAnsi="Arial" w:cs="Arial"/>
          <w:b/>
          <w:bCs/>
          <w:sz w:val="24"/>
          <w:szCs w:val="24"/>
        </w:rPr>
        <w:t>F</w:t>
      </w:r>
      <w:r w:rsidRPr="00555E03">
        <w:rPr>
          <w:rFonts w:ascii="Arial" w:hAnsi="Arial" w:cs="Arial"/>
          <w:b/>
          <w:bCs/>
          <w:sz w:val="24"/>
          <w:szCs w:val="24"/>
        </w:rPr>
        <w:t xml:space="preserve"> – City Deal Delivery and Performance Update</w:t>
      </w:r>
    </w:p>
    <w:p w14:paraId="3B7BC35B" w14:textId="77777777" w:rsidR="00840E38" w:rsidRPr="00D3134F" w:rsidRDefault="00840E38" w:rsidP="009D6EB3">
      <w:pPr>
        <w:spacing w:after="0" w:line="240" w:lineRule="auto"/>
        <w:rPr>
          <w:rFonts w:ascii="Arial" w:hAnsi="Arial" w:cs="Arial"/>
          <w:sz w:val="24"/>
          <w:szCs w:val="24"/>
        </w:rPr>
      </w:pPr>
    </w:p>
    <w:p w14:paraId="3248E0A4" w14:textId="79FBAE89" w:rsidR="00D3134F" w:rsidRPr="00840E38" w:rsidRDefault="000B5041" w:rsidP="00D3134F">
      <w:pPr>
        <w:spacing w:after="0" w:line="240" w:lineRule="auto"/>
        <w:rPr>
          <w:rFonts w:ascii="Arial" w:eastAsia="Times New Roman" w:hAnsi="Arial" w:cs="Arial"/>
          <w:b/>
          <w:sz w:val="24"/>
          <w:szCs w:val="24"/>
          <w:u w:val="single"/>
        </w:rPr>
      </w:pPr>
      <w:r w:rsidRPr="00840E38">
        <w:rPr>
          <w:rFonts w:ascii="Arial" w:eastAsia="Times New Roman" w:hAnsi="Arial" w:cs="Arial"/>
          <w:b/>
          <w:sz w:val="24"/>
          <w:szCs w:val="24"/>
          <w:u w:val="single"/>
        </w:rPr>
        <w:fldChar w:fldCharType="begin"/>
      </w:r>
      <w:r w:rsidRPr="00840E38">
        <w:rPr>
          <w:rFonts w:ascii="Arial" w:eastAsia="Times New Roman" w:hAnsi="Arial" w:cs="Arial"/>
          <w:b/>
          <w:sz w:val="24"/>
          <w:szCs w:val="24"/>
          <w:u w:val="single"/>
        </w:rPr>
        <w:instrText xml:space="preserve"> DOCPROPERTY  IssueTitle  \* MERGEFORMAT </w:instrText>
      </w:r>
      <w:r w:rsidRPr="00840E38">
        <w:rPr>
          <w:rFonts w:ascii="Arial" w:eastAsia="Times New Roman" w:hAnsi="Arial" w:cs="Arial"/>
          <w:b/>
          <w:sz w:val="24"/>
          <w:szCs w:val="24"/>
          <w:u w:val="single"/>
        </w:rPr>
        <w:fldChar w:fldCharType="separate"/>
      </w:r>
      <w:r w:rsidRPr="00840E38">
        <w:rPr>
          <w:rFonts w:ascii="Arial" w:eastAsia="Times New Roman" w:hAnsi="Arial" w:cs="Arial"/>
          <w:b/>
          <w:sz w:val="24"/>
          <w:szCs w:val="24"/>
          <w:u w:val="single"/>
        </w:rPr>
        <w:t>City Deal Employment &amp; Skills Monitoring Report</w:t>
      </w:r>
      <w:r w:rsidRPr="00840E38">
        <w:rPr>
          <w:rFonts w:ascii="Arial" w:eastAsia="Times New Roman" w:hAnsi="Arial" w:cs="Arial"/>
          <w:b/>
          <w:sz w:val="24"/>
          <w:szCs w:val="24"/>
          <w:u w:val="single"/>
        </w:rPr>
        <w:fldChar w:fldCharType="end"/>
      </w:r>
    </w:p>
    <w:bookmarkEnd w:id="1"/>
    <w:p w14:paraId="30DEBD89" w14:textId="520C17B0" w:rsidR="00D3134F" w:rsidRPr="00D3134F" w:rsidRDefault="00D3134F" w:rsidP="00D3134F">
      <w:pPr>
        <w:spacing w:after="0" w:line="240" w:lineRule="auto"/>
        <w:rPr>
          <w:rFonts w:ascii="Arial" w:hAnsi="Arial" w:cs="Arial"/>
          <w:sz w:val="24"/>
          <w:szCs w:val="24"/>
        </w:rPr>
      </w:pPr>
    </w:p>
    <w:p w14:paraId="6C19EEF5" w14:textId="77777777" w:rsidR="00D3134F" w:rsidRPr="00D3134F" w:rsidRDefault="00D3134F" w:rsidP="00D3134F">
      <w:pPr>
        <w:spacing w:after="0" w:line="240" w:lineRule="auto"/>
        <w:rPr>
          <w:rFonts w:ascii="Arial" w:hAnsi="Arial" w:cs="Arial"/>
          <w:sz w:val="24"/>
          <w:szCs w:val="24"/>
        </w:rPr>
      </w:pPr>
    </w:p>
    <w:p w14:paraId="73016BC7" w14:textId="1D583CA5" w:rsidR="00D3134F" w:rsidRPr="00D3134F" w:rsidRDefault="000B5041"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  \* MERGEFORMAT </w:instrText>
      </w:r>
      <w:r w:rsidR="00E1211C">
        <w:rPr>
          <w:rFonts w:ascii="Arial" w:hAnsi="Arial" w:cs="Arial"/>
          <w:b/>
          <w:sz w:val="24"/>
          <w:szCs w:val="24"/>
        </w:rPr>
        <w:fldChar w:fldCharType="separate"/>
      </w:r>
      <w:r w:rsidR="0005260B">
        <w:rPr>
          <w:rFonts w:ascii="Arial" w:hAnsi="Arial" w:cs="Arial"/>
          <w:b/>
          <w:sz w:val="24"/>
          <w:szCs w:val="24"/>
        </w:rPr>
        <w:t>Leigh McLaughlin</w:t>
      </w:r>
      <w:r w:rsidR="00E1211C">
        <w:rPr>
          <w:rFonts w:ascii="Arial" w:hAnsi="Arial" w:cs="Arial"/>
          <w:b/>
          <w:sz w:val="24"/>
          <w:szCs w:val="24"/>
        </w:rPr>
        <w:fldChar w:fldCharType="end"/>
      </w:r>
      <w:r w:rsidR="00E1211C">
        <w:rPr>
          <w:rFonts w:ascii="Arial" w:hAnsi="Arial" w:cs="Arial"/>
          <w:b/>
          <w:sz w:val="24"/>
          <w:szCs w:val="24"/>
        </w:rPr>
        <w:fldChar w:fldCharType="begin"/>
      </w:r>
      <w:r w:rsidR="00E1211C">
        <w:rPr>
          <w:rFonts w:ascii="Arial" w:hAnsi="Arial" w:cs="Arial"/>
          <w:b/>
          <w:sz w:val="24"/>
          <w:szCs w:val="24"/>
        </w:rPr>
        <w:instrText xml:space="preserve"> DOCPROPERTY  LeadOfficerTel  \* MERGEFORMAT </w:instrText>
      </w:r>
      <w:r w:rsidR="00840E38">
        <w:rPr>
          <w:rFonts w:ascii="Arial" w:hAnsi="Arial" w:cs="Arial"/>
          <w:b/>
          <w:sz w:val="24"/>
          <w:szCs w:val="24"/>
        </w:rPr>
        <w:fldChar w:fldCharType="separate"/>
      </w:r>
      <w:r w:rsidR="00E1211C">
        <w:rPr>
          <w:rFonts w:ascii="Arial" w:hAnsi="Arial" w:cs="Arial"/>
          <w:b/>
          <w:sz w:val="24"/>
          <w:szCs w:val="24"/>
        </w:rPr>
        <w:fldChar w:fldCharType="end"/>
      </w:r>
      <w:r w:rsidRPr="00D3134F">
        <w:rPr>
          <w:rFonts w:ascii="Arial" w:hAnsi="Arial" w:cs="Arial"/>
          <w:b/>
          <w:sz w:val="24"/>
          <w:szCs w:val="24"/>
        </w:rPr>
        <w:t>,</w:t>
      </w:r>
      <w:r w:rsidR="0005260B">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sidR="0005260B">
        <w:rPr>
          <w:rFonts w:ascii="Arial" w:hAnsi="Arial" w:cs="Arial"/>
          <w:b/>
          <w:sz w:val="24"/>
          <w:szCs w:val="24"/>
        </w:rPr>
        <w:t>leigh.mclaughlin</w:t>
      </w:r>
      <w:r>
        <w:rPr>
          <w:rFonts w:ascii="Arial" w:hAnsi="Arial" w:cs="Arial"/>
          <w:b/>
          <w:sz w:val="24"/>
          <w:szCs w:val="24"/>
        </w:rPr>
        <w:t>@lancashirelep.co.uk</w:t>
      </w:r>
      <w:r>
        <w:rPr>
          <w:rFonts w:ascii="Arial" w:hAnsi="Arial" w:cs="Arial"/>
          <w:b/>
          <w:sz w:val="24"/>
          <w:szCs w:val="24"/>
        </w:rPr>
        <w:fldChar w:fldCharType="end"/>
      </w:r>
    </w:p>
    <w:p w14:paraId="189095B3" w14:textId="77777777"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41D36" w14:paraId="1B7D939F" w14:textId="77777777" w:rsidTr="000B1F3A">
        <w:tc>
          <w:tcPr>
            <w:tcW w:w="9180" w:type="dxa"/>
          </w:tcPr>
          <w:p w14:paraId="7DCBB6C9" w14:textId="77777777" w:rsidR="00D3134F" w:rsidRPr="00D3134F" w:rsidRDefault="00D3134F" w:rsidP="00D3134F">
            <w:pPr>
              <w:pStyle w:val="Header"/>
              <w:rPr>
                <w:rFonts w:ascii="Arial" w:hAnsi="Arial" w:cs="Arial"/>
                <w:sz w:val="24"/>
                <w:szCs w:val="24"/>
              </w:rPr>
            </w:pPr>
          </w:p>
          <w:p w14:paraId="0B303728" w14:textId="77777777" w:rsidR="00D3134F" w:rsidRPr="00D3134F" w:rsidRDefault="000B5041"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14:paraId="53C0B001" w14:textId="77777777" w:rsidR="00D3134F" w:rsidRPr="00D3134F" w:rsidRDefault="00D3134F" w:rsidP="00D3134F">
            <w:pPr>
              <w:spacing w:after="0" w:line="240" w:lineRule="auto"/>
              <w:rPr>
                <w:rFonts w:ascii="Arial" w:hAnsi="Arial" w:cs="Arial"/>
                <w:sz w:val="24"/>
                <w:szCs w:val="24"/>
              </w:rPr>
            </w:pPr>
          </w:p>
          <w:p w14:paraId="222CF23A" w14:textId="3FBBF6C7" w:rsidR="00D3134F" w:rsidRDefault="000B5041" w:rsidP="00B67F61">
            <w:pPr>
              <w:spacing w:after="0" w:line="240" w:lineRule="auto"/>
              <w:jc w:val="both"/>
              <w:rPr>
                <w:rFonts w:ascii="Arial" w:hAnsi="Arial" w:cs="Arial"/>
                <w:sz w:val="24"/>
                <w:szCs w:val="24"/>
              </w:rPr>
            </w:pPr>
            <w:r w:rsidRPr="00414CBB">
              <w:rPr>
                <w:rFonts w:ascii="Arial" w:hAnsi="Arial" w:cs="Arial"/>
                <w:sz w:val="24"/>
                <w:szCs w:val="24"/>
              </w:rPr>
              <w:t>This Employment and Skills Monitoring Report covers a range</w:t>
            </w:r>
            <w:r w:rsidR="00E02C8A">
              <w:rPr>
                <w:rFonts w:ascii="Arial" w:hAnsi="Arial" w:cs="Arial"/>
                <w:sz w:val="24"/>
                <w:szCs w:val="24"/>
              </w:rPr>
              <w:t xml:space="preserve"> of</w:t>
            </w:r>
            <w:r w:rsidRPr="00414CBB">
              <w:rPr>
                <w:rFonts w:ascii="Arial" w:hAnsi="Arial" w:cs="Arial"/>
                <w:sz w:val="24"/>
                <w:szCs w:val="24"/>
              </w:rPr>
              <w:t xml:space="preserve"> City Deal employment and skills metrics. The metrics </w:t>
            </w:r>
            <w:r w:rsidR="00970927">
              <w:rPr>
                <w:rFonts w:ascii="Arial" w:hAnsi="Arial" w:cs="Arial"/>
                <w:sz w:val="24"/>
                <w:szCs w:val="24"/>
              </w:rPr>
              <w:t xml:space="preserve">that are included </w:t>
            </w:r>
            <w:r w:rsidR="007520F5">
              <w:rPr>
                <w:rFonts w:ascii="Arial" w:hAnsi="Arial" w:cs="Arial"/>
                <w:sz w:val="24"/>
                <w:szCs w:val="24"/>
              </w:rPr>
              <w:t xml:space="preserve">were set at the start of the programme and </w:t>
            </w:r>
            <w:r w:rsidRPr="00414CBB">
              <w:rPr>
                <w:rFonts w:ascii="Arial" w:hAnsi="Arial" w:cs="Arial"/>
                <w:sz w:val="24"/>
                <w:szCs w:val="24"/>
              </w:rPr>
              <w:t>provide indicative measures for the wider impact of the City Deal investment in the Central Lancashire area</w:t>
            </w:r>
            <w:r w:rsidR="00BF4CEC">
              <w:rPr>
                <w:rFonts w:ascii="Arial" w:hAnsi="Arial" w:cs="Arial"/>
                <w:sz w:val="24"/>
                <w:szCs w:val="24"/>
              </w:rPr>
              <w:t>,</w:t>
            </w:r>
            <w:r w:rsidRPr="00414CBB">
              <w:rPr>
                <w:rFonts w:ascii="Arial" w:hAnsi="Arial" w:cs="Arial"/>
                <w:sz w:val="24"/>
                <w:szCs w:val="24"/>
              </w:rPr>
              <w:t xml:space="preserve"> utilising data from a range of sources including </w:t>
            </w:r>
            <w:r w:rsidR="000742D1" w:rsidRPr="000742D1">
              <w:rPr>
                <w:rFonts w:ascii="Arial" w:hAnsi="Arial" w:cs="Arial"/>
                <w:sz w:val="24"/>
                <w:szCs w:val="24"/>
              </w:rPr>
              <w:t>National Online Manpower Information System</w:t>
            </w:r>
            <w:r w:rsidR="000742D1">
              <w:rPr>
                <w:rFonts w:ascii="Arial" w:hAnsi="Arial" w:cs="Arial"/>
                <w:sz w:val="24"/>
                <w:szCs w:val="24"/>
              </w:rPr>
              <w:t xml:space="preserve"> </w:t>
            </w:r>
            <w:r w:rsidR="0068257C">
              <w:rPr>
                <w:rFonts w:ascii="Arial" w:hAnsi="Arial" w:cs="Arial"/>
                <w:sz w:val="24"/>
                <w:szCs w:val="24"/>
              </w:rPr>
              <w:t>(</w:t>
            </w:r>
            <w:r w:rsidRPr="00414CBB">
              <w:rPr>
                <w:rFonts w:ascii="Arial" w:hAnsi="Arial" w:cs="Arial"/>
                <w:sz w:val="24"/>
                <w:szCs w:val="24"/>
              </w:rPr>
              <w:t>N</w:t>
            </w:r>
            <w:r w:rsidR="000742D1">
              <w:rPr>
                <w:rFonts w:ascii="Arial" w:hAnsi="Arial" w:cs="Arial"/>
                <w:sz w:val="24"/>
                <w:szCs w:val="24"/>
              </w:rPr>
              <w:t>OMIS</w:t>
            </w:r>
            <w:r w:rsidR="0068257C">
              <w:rPr>
                <w:rFonts w:ascii="Arial" w:hAnsi="Arial" w:cs="Arial"/>
                <w:sz w:val="24"/>
                <w:szCs w:val="24"/>
              </w:rPr>
              <w:t>)</w:t>
            </w:r>
            <w:r w:rsidRPr="00414CBB">
              <w:rPr>
                <w:rFonts w:ascii="Arial" w:hAnsi="Arial" w:cs="Arial"/>
                <w:sz w:val="24"/>
                <w:szCs w:val="24"/>
              </w:rPr>
              <w:t xml:space="preserve">, </w:t>
            </w:r>
            <w:r w:rsidR="000742D1" w:rsidRPr="000742D1">
              <w:rPr>
                <w:rFonts w:ascii="Arial" w:hAnsi="Arial" w:cs="Arial"/>
                <w:sz w:val="24"/>
                <w:szCs w:val="24"/>
              </w:rPr>
              <w:t>Higher Education Statistics Agency</w:t>
            </w:r>
            <w:r w:rsidR="000742D1">
              <w:rPr>
                <w:rFonts w:ascii="Arial" w:hAnsi="Arial" w:cs="Arial"/>
                <w:sz w:val="24"/>
                <w:szCs w:val="24"/>
              </w:rPr>
              <w:t xml:space="preserve"> (</w:t>
            </w:r>
            <w:r w:rsidRPr="00414CBB">
              <w:rPr>
                <w:rFonts w:ascii="Arial" w:hAnsi="Arial" w:cs="Arial"/>
                <w:sz w:val="24"/>
                <w:szCs w:val="24"/>
              </w:rPr>
              <w:t>HESA</w:t>
            </w:r>
            <w:r w:rsidR="000742D1">
              <w:rPr>
                <w:rFonts w:ascii="Arial" w:hAnsi="Arial" w:cs="Arial"/>
                <w:sz w:val="24"/>
                <w:szCs w:val="24"/>
              </w:rPr>
              <w:t>)</w:t>
            </w:r>
            <w:r w:rsidRPr="00414CBB">
              <w:rPr>
                <w:rFonts w:ascii="Arial" w:hAnsi="Arial" w:cs="Arial"/>
                <w:sz w:val="24"/>
                <w:szCs w:val="24"/>
              </w:rPr>
              <w:t xml:space="preserve"> and </w:t>
            </w:r>
            <w:r w:rsidR="00BB1FB0">
              <w:rPr>
                <w:rFonts w:ascii="Arial" w:hAnsi="Arial" w:cs="Arial"/>
                <w:sz w:val="24"/>
                <w:szCs w:val="24"/>
              </w:rPr>
              <w:t xml:space="preserve">Education &amp; </w:t>
            </w:r>
            <w:r w:rsidRPr="00414CBB">
              <w:rPr>
                <w:rFonts w:ascii="Arial" w:hAnsi="Arial" w:cs="Arial"/>
                <w:sz w:val="24"/>
                <w:szCs w:val="24"/>
              </w:rPr>
              <w:t>S</w:t>
            </w:r>
            <w:r w:rsidR="000742D1">
              <w:rPr>
                <w:rFonts w:ascii="Arial" w:hAnsi="Arial" w:cs="Arial"/>
                <w:sz w:val="24"/>
                <w:szCs w:val="24"/>
              </w:rPr>
              <w:t xml:space="preserve">kills </w:t>
            </w:r>
            <w:r w:rsidRPr="00414CBB">
              <w:rPr>
                <w:rFonts w:ascii="Arial" w:hAnsi="Arial" w:cs="Arial"/>
                <w:sz w:val="24"/>
                <w:szCs w:val="24"/>
              </w:rPr>
              <w:t>F</w:t>
            </w:r>
            <w:r w:rsidR="000742D1">
              <w:rPr>
                <w:rFonts w:ascii="Arial" w:hAnsi="Arial" w:cs="Arial"/>
                <w:sz w:val="24"/>
                <w:szCs w:val="24"/>
              </w:rPr>
              <w:t>unding Agency (</w:t>
            </w:r>
            <w:r w:rsidR="00BB1FB0">
              <w:rPr>
                <w:rFonts w:ascii="Arial" w:hAnsi="Arial" w:cs="Arial"/>
                <w:sz w:val="24"/>
                <w:szCs w:val="24"/>
              </w:rPr>
              <w:t>E</w:t>
            </w:r>
            <w:r w:rsidR="000742D1">
              <w:rPr>
                <w:rFonts w:ascii="Arial" w:hAnsi="Arial" w:cs="Arial"/>
                <w:sz w:val="24"/>
                <w:szCs w:val="24"/>
              </w:rPr>
              <w:t>SFA)</w:t>
            </w:r>
            <w:r w:rsidR="004805BE">
              <w:rPr>
                <w:rFonts w:ascii="Arial" w:hAnsi="Arial" w:cs="Arial"/>
                <w:sz w:val="24"/>
                <w:szCs w:val="24"/>
              </w:rPr>
              <w:t>.</w:t>
            </w:r>
          </w:p>
          <w:p w14:paraId="13F99507" w14:textId="77777777" w:rsidR="00970927" w:rsidRDefault="00970927" w:rsidP="00D3134F">
            <w:pPr>
              <w:spacing w:after="0" w:line="240" w:lineRule="auto"/>
              <w:rPr>
                <w:rFonts w:ascii="Arial" w:hAnsi="Arial" w:cs="Arial"/>
                <w:sz w:val="24"/>
                <w:szCs w:val="24"/>
              </w:rPr>
            </w:pPr>
          </w:p>
          <w:p w14:paraId="10FABF40" w14:textId="0E17F4A0" w:rsidR="00722B5A" w:rsidRDefault="001E5E7B" w:rsidP="00B67F61">
            <w:pPr>
              <w:spacing w:after="0" w:line="240" w:lineRule="auto"/>
              <w:jc w:val="both"/>
              <w:rPr>
                <w:rFonts w:ascii="Arial" w:hAnsi="Arial" w:cs="Arial"/>
                <w:sz w:val="24"/>
                <w:szCs w:val="24"/>
              </w:rPr>
            </w:pPr>
            <w:r>
              <w:rPr>
                <w:rFonts w:ascii="Arial" w:hAnsi="Arial" w:cs="Arial"/>
                <w:sz w:val="24"/>
                <w:szCs w:val="24"/>
              </w:rPr>
              <w:t>As the programme has progressed</w:t>
            </w:r>
            <w:r w:rsidR="00D947AC">
              <w:rPr>
                <w:rFonts w:ascii="Arial" w:hAnsi="Arial" w:cs="Arial"/>
                <w:sz w:val="24"/>
                <w:szCs w:val="24"/>
              </w:rPr>
              <w:t>,</w:t>
            </w:r>
            <w:r>
              <w:rPr>
                <w:rFonts w:ascii="Arial" w:hAnsi="Arial" w:cs="Arial"/>
                <w:sz w:val="24"/>
                <w:szCs w:val="24"/>
              </w:rPr>
              <w:t xml:space="preserve"> </w:t>
            </w:r>
            <w:proofErr w:type="gramStart"/>
            <w:r w:rsidR="00D947AC">
              <w:rPr>
                <w:rFonts w:ascii="Arial" w:hAnsi="Arial" w:cs="Arial"/>
                <w:sz w:val="24"/>
                <w:szCs w:val="24"/>
              </w:rPr>
              <w:t>the majority of</w:t>
            </w:r>
            <w:proofErr w:type="gramEnd"/>
            <w:r w:rsidR="00D947AC">
              <w:rPr>
                <w:rFonts w:ascii="Arial" w:hAnsi="Arial" w:cs="Arial"/>
                <w:sz w:val="24"/>
                <w:szCs w:val="24"/>
              </w:rPr>
              <w:t xml:space="preserve"> the data </w:t>
            </w:r>
            <w:r w:rsidR="00596D1E">
              <w:rPr>
                <w:rFonts w:ascii="Arial" w:hAnsi="Arial" w:cs="Arial"/>
                <w:sz w:val="24"/>
                <w:szCs w:val="24"/>
              </w:rPr>
              <w:t xml:space="preserve">has been discontinued and as a result </w:t>
            </w:r>
            <w:r w:rsidR="00D947AC">
              <w:rPr>
                <w:rFonts w:ascii="Arial" w:hAnsi="Arial" w:cs="Arial"/>
                <w:sz w:val="24"/>
                <w:szCs w:val="24"/>
              </w:rPr>
              <w:t xml:space="preserve">is </w:t>
            </w:r>
            <w:r w:rsidR="00970927">
              <w:rPr>
                <w:rFonts w:ascii="Arial" w:hAnsi="Arial" w:cs="Arial"/>
                <w:sz w:val="24"/>
                <w:szCs w:val="24"/>
              </w:rPr>
              <w:t>no longer available</w:t>
            </w:r>
            <w:r w:rsidR="00A4466C">
              <w:rPr>
                <w:rFonts w:ascii="Arial" w:hAnsi="Arial" w:cs="Arial"/>
                <w:sz w:val="24"/>
                <w:szCs w:val="24"/>
              </w:rPr>
              <w:t xml:space="preserve">. </w:t>
            </w:r>
            <w:r w:rsidR="00D55319">
              <w:rPr>
                <w:rFonts w:ascii="Arial" w:hAnsi="Arial" w:cs="Arial"/>
                <w:sz w:val="24"/>
                <w:szCs w:val="24"/>
              </w:rPr>
              <w:t>Therefore,</w:t>
            </w:r>
            <w:r w:rsidR="00596D1E">
              <w:rPr>
                <w:rFonts w:ascii="Arial" w:hAnsi="Arial" w:cs="Arial"/>
                <w:sz w:val="24"/>
                <w:szCs w:val="24"/>
              </w:rPr>
              <w:t xml:space="preserve"> </w:t>
            </w:r>
            <w:r w:rsidR="00D947AC">
              <w:rPr>
                <w:rFonts w:ascii="Arial" w:hAnsi="Arial" w:cs="Arial"/>
                <w:sz w:val="24"/>
                <w:szCs w:val="24"/>
              </w:rPr>
              <w:t>it i</w:t>
            </w:r>
            <w:r w:rsidR="00A4466C">
              <w:rPr>
                <w:rFonts w:ascii="Arial" w:hAnsi="Arial" w:cs="Arial"/>
                <w:sz w:val="24"/>
                <w:szCs w:val="24"/>
              </w:rPr>
              <w:t xml:space="preserve">s proposed that this </w:t>
            </w:r>
            <w:r w:rsidR="00D947AC">
              <w:rPr>
                <w:rFonts w:ascii="Arial" w:hAnsi="Arial" w:cs="Arial"/>
                <w:sz w:val="24"/>
                <w:szCs w:val="24"/>
              </w:rPr>
              <w:t xml:space="preserve">report will be the last in the series, providing the </w:t>
            </w:r>
            <w:r w:rsidR="00BA02AB">
              <w:rPr>
                <w:rFonts w:ascii="Arial" w:hAnsi="Arial" w:cs="Arial"/>
                <w:sz w:val="24"/>
                <w:szCs w:val="24"/>
              </w:rPr>
              <w:t>most recent position</w:t>
            </w:r>
            <w:r w:rsidR="00596D1E">
              <w:rPr>
                <w:rFonts w:ascii="Arial" w:hAnsi="Arial" w:cs="Arial"/>
                <w:sz w:val="24"/>
                <w:szCs w:val="24"/>
              </w:rPr>
              <w:t xml:space="preserve"> for </w:t>
            </w:r>
            <w:r w:rsidR="00041957">
              <w:rPr>
                <w:rFonts w:ascii="Arial" w:hAnsi="Arial" w:cs="Arial"/>
                <w:sz w:val="24"/>
                <w:szCs w:val="24"/>
              </w:rPr>
              <w:t>all</w:t>
            </w:r>
            <w:r w:rsidR="00596D1E">
              <w:rPr>
                <w:rFonts w:ascii="Arial" w:hAnsi="Arial" w:cs="Arial"/>
                <w:sz w:val="24"/>
                <w:szCs w:val="24"/>
              </w:rPr>
              <w:t xml:space="preserve"> the indicators. </w:t>
            </w:r>
            <w:r w:rsidR="00BA02AB">
              <w:rPr>
                <w:rFonts w:ascii="Arial" w:hAnsi="Arial" w:cs="Arial"/>
                <w:sz w:val="24"/>
                <w:szCs w:val="24"/>
              </w:rPr>
              <w:t xml:space="preserve"> </w:t>
            </w:r>
          </w:p>
          <w:p w14:paraId="38CF8B56" w14:textId="77777777" w:rsidR="00722B5A" w:rsidRPr="00D3134F" w:rsidRDefault="00722B5A" w:rsidP="00D3134F">
            <w:pPr>
              <w:spacing w:after="0" w:line="240" w:lineRule="auto"/>
              <w:rPr>
                <w:rFonts w:ascii="Arial" w:hAnsi="Arial" w:cs="Arial"/>
                <w:sz w:val="24"/>
                <w:szCs w:val="24"/>
              </w:rPr>
            </w:pPr>
          </w:p>
          <w:p w14:paraId="34ACB4C0" w14:textId="77777777" w:rsidR="00D3134F" w:rsidRPr="00D3134F" w:rsidRDefault="000B5041" w:rsidP="00D3134F">
            <w:pPr>
              <w:pStyle w:val="Heading5"/>
              <w:spacing w:before="0" w:line="240" w:lineRule="auto"/>
              <w:rPr>
                <w:rFonts w:ascii="Arial" w:hAnsi="Arial" w:cs="Arial"/>
                <w:b/>
                <w:color w:val="auto"/>
              </w:rPr>
            </w:pPr>
            <w:r w:rsidRPr="00D3134F">
              <w:rPr>
                <w:rFonts w:ascii="Arial" w:hAnsi="Arial" w:cs="Arial"/>
                <w:b/>
                <w:color w:val="auto"/>
              </w:rPr>
              <w:t>Recommendation</w:t>
            </w:r>
          </w:p>
          <w:p w14:paraId="609F0217" w14:textId="77777777" w:rsidR="00D3134F" w:rsidRPr="00D3134F" w:rsidRDefault="00D3134F" w:rsidP="00D3134F">
            <w:pPr>
              <w:spacing w:after="0" w:line="240" w:lineRule="auto"/>
              <w:rPr>
                <w:rFonts w:ascii="Arial" w:hAnsi="Arial" w:cs="Arial"/>
                <w:sz w:val="24"/>
                <w:szCs w:val="24"/>
              </w:rPr>
            </w:pPr>
          </w:p>
          <w:p w14:paraId="64105B8A" w14:textId="33B89D1C" w:rsidR="00D3134F" w:rsidRDefault="000B5041" w:rsidP="00B67F61">
            <w:pPr>
              <w:spacing w:after="0" w:line="240" w:lineRule="auto"/>
              <w:jc w:val="both"/>
              <w:rPr>
                <w:rFonts w:ascii="Arial" w:hAnsi="Arial" w:cs="Arial"/>
                <w:sz w:val="24"/>
                <w:szCs w:val="24"/>
              </w:rPr>
            </w:pPr>
            <w:r w:rsidRPr="00414CBB">
              <w:rPr>
                <w:rFonts w:ascii="Arial" w:hAnsi="Arial" w:cs="Arial"/>
                <w:sz w:val="24"/>
                <w:szCs w:val="24"/>
              </w:rPr>
              <w:t>The City Deal Executive and Stewardship Board is asked to note the report</w:t>
            </w:r>
            <w:r w:rsidR="0016317B">
              <w:rPr>
                <w:rFonts w:ascii="Arial" w:hAnsi="Arial" w:cs="Arial"/>
                <w:sz w:val="24"/>
                <w:szCs w:val="24"/>
              </w:rPr>
              <w:t xml:space="preserve"> and agree that the report will be the last in the series.</w:t>
            </w:r>
          </w:p>
          <w:p w14:paraId="4F200C1D" w14:textId="3CECD0BB" w:rsidR="005C624F" w:rsidRPr="00D3134F" w:rsidRDefault="005C624F" w:rsidP="00414CBB">
            <w:pPr>
              <w:spacing w:after="0" w:line="240" w:lineRule="auto"/>
              <w:rPr>
                <w:rFonts w:ascii="Arial" w:hAnsi="Arial" w:cs="Arial"/>
                <w:sz w:val="24"/>
                <w:szCs w:val="24"/>
              </w:rPr>
            </w:pPr>
          </w:p>
        </w:tc>
      </w:tr>
    </w:tbl>
    <w:p w14:paraId="3B95017F" w14:textId="77777777" w:rsidR="00D3134F" w:rsidRPr="00D3134F" w:rsidRDefault="00D3134F" w:rsidP="00D3134F">
      <w:pPr>
        <w:pStyle w:val="Header"/>
        <w:rPr>
          <w:rFonts w:ascii="Arial" w:hAnsi="Arial" w:cs="Arial"/>
          <w:sz w:val="24"/>
          <w:szCs w:val="24"/>
        </w:rPr>
      </w:pPr>
    </w:p>
    <w:p w14:paraId="36D9F1AB" w14:textId="3191F1DB" w:rsidR="00414CBB" w:rsidRPr="003F11E4" w:rsidRDefault="00C9141A" w:rsidP="003F11E4">
      <w:pPr>
        <w:rPr>
          <w:rFonts w:ascii="Arial" w:hAnsi="Arial" w:cs="Arial"/>
          <w:sz w:val="24"/>
          <w:szCs w:val="24"/>
        </w:rPr>
      </w:pPr>
      <w:r>
        <w:rPr>
          <w:rFonts w:ascii="Arial" w:hAnsi="Arial" w:cs="Arial"/>
          <w:b/>
          <w:sz w:val="24"/>
          <w:szCs w:val="24"/>
        </w:rPr>
        <w:t>1.</w:t>
      </w:r>
      <w:r w:rsidR="00AD2530">
        <w:rPr>
          <w:rFonts w:ascii="Arial" w:hAnsi="Arial" w:cs="Arial"/>
          <w:b/>
          <w:sz w:val="24"/>
          <w:szCs w:val="24"/>
        </w:rPr>
        <w:t>0</w:t>
      </w:r>
      <w:r w:rsidR="00AA6679">
        <w:rPr>
          <w:rFonts w:ascii="Arial" w:hAnsi="Arial" w:cs="Arial"/>
          <w:b/>
          <w:sz w:val="24"/>
          <w:szCs w:val="24"/>
        </w:rPr>
        <w:tab/>
      </w:r>
      <w:r w:rsidR="003F11E4" w:rsidRPr="003F11E4">
        <w:rPr>
          <w:rFonts w:ascii="Arial" w:hAnsi="Arial" w:cs="Arial"/>
          <w:b/>
          <w:sz w:val="24"/>
          <w:szCs w:val="24"/>
        </w:rPr>
        <w:t>City Deal Employment &amp; Skills Monitoring Report</w:t>
      </w:r>
    </w:p>
    <w:p w14:paraId="545E2E9B" w14:textId="0670279B" w:rsidR="00720234" w:rsidRDefault="00792700" w:rsidP="00656EEC">
      <w:pPr>
        <w:pStyle w:val="ListParagraph"/>
        <w:ind w:left="0"/>
        <w:jc w:val="both"/>
        <w:rPr>
          <w:rFonts w:ascii="Arial" w:hAnsi="Arial" w:cs="Arial"/>
          <w:sz w:val="24"/>
          <w:szCs w:val="24"/>
        </w:rPr>
      </w:pPr>
      <w:r>
        <w:rPr>
          <w:rFonts w:ascii="Arial" w:hAnsi="Arial" w:cs="Arial"/>
          <w:sz w:val="24"/>
          <w:szCs w:val="24"/>
        </w:rPr>
        <w:t>O</w:t>
      </w:r>
      <w:r w:rsidR="000B5041">
        <w:rPr>
          <w:rFonts w:ascii="Arial" w:hAnsi="Arial" w:cs="Arial"/>
          <w:sz w:val="24"/>
          <w:szCs w:val="24"/>
        </w:rPr>
        <w:t xml:space="preserve">utputs </w:t>
      </w:r>
      <w:r>
        <w:rPr>
          <w:rFonts w:ascii="Arial" w:hAnsi="Arial" w:cs="Arial"/>
          <w:sz w:val="24"/>
          <w:szCs w:val="24"/>
        </w:rPr>
        <w:t>re</w:t>
      </w:r>
      <w:r w:rsidR="00DB37AB">
        <w:rPr>
          <w:rFonts w:ascii="Arial" w:hAnsi="Arial" w:cs="Arial"/>
          <w:sz w:val="24"/>
          <w:szCs w:val="24"/>
        </w:rPr>
        <w:t xml:space="preserve">lating to </w:t>
      </w:r>
      <w:r w:rsidR="000B5041">
        <w:rPr>
          <w:rFonts w:ascii="Arial" w:hAnsi="Arial" w:cs="Arial"/>
          <w:sz w:val="24"/>
          <w:szCs w:val="24"/>
        </w:rPr>
        <w:t xml:space="preserve">skills and employment are outlined in </w:t>
      </w:r>
      <w:r w:rsidR="00EB1316">
        <w:rPr>
          <w:rFonts w:ascii="Arial" w:hAnsi="Arial" w:cs="Arial"/>
          <w:sz w:val="24"/>
          <w:szCs w:val="24"/>
        </w:rPr>
        <w:t>t</w:t>
      </w:r>
      <w:r w:rsidR="000B5041">
        <w:rPr>
          <w:rFonts w:ascii="Arial" w:hAnsi="Arial" w:cs="Arial"/>
          <w:sz w:val="24"/>
          <w:szCs w:val="24"/>
        </w:rPr>
        <w:t>able</w:t>
      </w:r>
      <w:r w:rsidR="00EB1316">
        <w:rPr>
          <w:rFonts w:ascii="Arial" w:hAnsi="Arial" w:cs="Arial"/>
          <w:sz w:val="24"/>
          <w:szCs w:val="24"/>
        </w:rPr>
        <w:t xml:space="preserve">s and charts </w:t>
      </w:r>
      <w:r w:rsidR="000B5041">
        <w:rPr>
          <w:rFonts w:ascii="Arial" w:hAnsi="Arial" w:cs="Arial"/>
          <w:sz w:val="24"/>
          <w:szCs w:val="24"/>
        </w:rPr>
        <w:t>below</w:t>
      </w:r>
      <w:r w:rsidR="00DB37AB">
        <w:rPr>
          <w:rFonts w:ascii="Arial" w:hAnsi="Arial" w:cs="Arial"/>
          <w:sz w:val="24"/>
          <w:szCs w:val="24"/>
        </w:rPr>
        <w:t>, covering the entire programme</w:t>
      </w:r>
      <w:r w:rsidR="000B5041">
        <w:rPr>
          <w:rFonts w:ascii="Arial" w:hAnsi="Arial" w:cs="Arial"/>
          <w:sz w:val="24"/>
          <w:szCs w:val="24"/>
        </w:rPr>
        <w:t xml:space="preserve">. </w:t>
      </w:r>
    </w:p>
    <w:p w14:paraId="340607F4" w14:textId="4DC707A2" w:rsidR="00500E4C" w:rsidRDefault="00500E4C" w:rsidP="00500E4C">
      <w:pPr>
        <w:pStyle w:val="ListParagraph"/>
        <w:ind w:left="0"/>
        <w:rPr>
          <w:rFonts w:ascii="Arial" w:hAnsi="Arial" w:cs="Arial"/>
          <w:sz w:val="24"/>
          <w:szCs w:val="24"/>
        </w:rPr>
      </w:pPr>
    </w:p>
    <w:p w14:paraId="55815338" w14:textId="75E11F98" w:rsidR="00500E4C" w:rsidRPr="00B933D8" w:rsidRDefault="00FD6F4E" w:rsidP="00B933D8">
      <w:pPr>
        <w:pStyle w:val="ListParagraph"/>
        <w:numPr>
          <w:ilvl w:val="1"/>
          <w:numId w:val="15"/>
        </w:numPr>
        <w:rPr>
          <w:rFonts w:ascii="Arial" w:hAnsi="Arial" w:cs="Arial"/>
          <w:b/>
          <w:sz w:val="24"/>
          <w:szCs w:val="24"/>
        </w:rPr>
      </w:pPr>
      <w:r w:rsidRPr="00B933D8">
        <w:rPr>
          <w:rFonts w:ascii="Arial" w:hAnsi="Arial" w:cs="Arial"/>
          <w:b/>
          <w:sz w:val="24"/>
          <w:szCs w:val="24"/>
        </w:rPr>
        <w:t>S</w:t>
      </w:r>
      <w:r w:rsidR="00B60C13" w:rsidRPr="00B933D8">
        <w:rPr>
          <w:rFonts w:ascii="Arial" w:hAnsi="Arial" w:cs="Arial"/>
          <w:b/>
          <w:sz w:val="24"/>
          <w:szCs w:val="24"/>
        </w:rPr>
        <w:t xml:space="preserve">ummary of </w:t>
      </w:r>
      <w:r w:rsidR="000F7D1D" w:rsidRPr="00B933D8">
        <w:rPr>
          <w:rFonts w:ascii="Arial" w:hAnsi="Arial" w:cs="Arial"/>
          <w:b/>
          <w:sz w:val="24"/>
          <w:szCs w:val="24"/>
        </w:rPr>
        <w:t xml:space="preserve">updated </w:t>
      </w:r>
      <w:r w:rsidR="00B60C13" w:rsidRPr="00B933D8">
        <w:rPr>
          <w:rFonts w:ascii="Arial" w:hAnsi="Arial" w:cs="Arial"/>
          <w:b/>
          <w:sz w:val="24"/>
          <w:szCs w:val="24"/>
        </w:rPr>
        <w:t xml:space="preserve">measures </w:t>
      </w:r>
    </w:p>
    <w:p w14:paraId="12CA4C63" w14:textId="36DFDF35" w:rsidR="00B933D8" w:rsidRPr="00925FCD" w:rsidRDefault="00925FCD" w:rsidP="00B67F61">
      <w:pPr>
        <w:jc w:val="both"/>
        <w:rPr>
          <w:rFonts w:ascii="Arial" w:hAnsi="Arial" w:cs="Arial"/>
          <w:bCs/>
          <w:sz w:val="24"/>
          <w:szCs w:val="24"/>
        </w:rPr>
      </w:pPr>
      <w:r w:rsidRPr="00925FCD">
        <w:rPr>
          <w:rFonts w:ascii="Arial" w:hAnsi="Arial" w:cs="Arial"/>
          <w:bCs/>
          <w:sz w:val="24"/>
          <w:szCs w:val="24"/>
        </w:rPr>
        <w:t xml:space="preserve">The report </w:t>
      </w:r>
      <w:r w:rsidR="00041957" w:rsidRPr="00925FCD">
        <w:rPr>
          <w:rFonts w:ascii="Arial" w:hAnsi="Arial" w:cs="Arial"/>
          <w:bCs/>
          <w:sz w:val="24"/>
          <w:szCs w:val="24"/>
        </w:rPr>
        <w:t>can</w:t>
      </w:r>
      <w:r w:rsidRPr="00925FCD">
        <w:rPr>
          <w:rFonts w:ascii="Arial" w:hAnsi="Arial" w:cs="Arial"/>
          <w:bCs/>
          <w:sz w:val="24"/>
          <w:szCs w:val="24"/>
        </w:rPr>
        <w:t xml:space="preserve"> </w:t>
      </w:r>
      <w:r w:rsidR="00041957">
        <w:rPr>
          <w:rFonts w:ascii="Arial" w:hAnsi="Arial" w:cs="Arial"/>
          <w:bCs/>
          <w:sz w:val="24"/>
          <w:szCs w:val="24"/>
        </w:rPr>
        <w:t xml:space="preserve">provide </w:t>
      </w:r>
      <w:r>
        <w:rPr>
          <w:rFonts w:ascii="Arial" w:hAnsi="Arial" w:cs="Arial"/>
          <w:bCs/>
          <w:sz w:val="24"/>
          <w:szCs w:val="24"/>
        </w:rPr>
        <w:t>update</w:t>
      </w:r>
      <w:r w:rsidR="00041957">
        <w:rPr>
          <w:rFonts w:ascii="Arial" w:hAnsi="Arial" w:cs="Arial"/>
          <w:bCs/>
          <w:sz w:val="24"/>
          <w:szCs w:val="24"/>
        </w:rPr>
        <w:t>s</w:t>
      </w:r>
      <w:r>
        <w:rPr>
          <w:rFonts w:ascii="Arial" w:hAnsi="Arial" w:cs="Arial"/>
          <w:bCs/>
          <w:sz w:val="24"/>
          <w:szCs w:val="24"/>
        </w:rPr>
        <w:t xml:space="preserve"> on two of the measures</w:t>
      </w:r>
      <w:r w:rsidR="0077405F">
        <w:rPr>
          <w:rFonts w:ascii="Arial" w:hAnsi="Arial" w:cs="Arial"/>
          <w:bCs/>
          <w:sz w:val="24"/>
          <w:szCs w:val="24"/>
        </w:rPr>
        <w:t>,</w:t>
      </w:r>
      <w:r w:rsidR="00A163EA">
        <w:rPr>
          <w:rFonts w:ascii="Arial" w:hAnsi="Arial" w:cs="Arial"/>
          <w:bCs/>
          <w:sz w:val="24"/>
          <w:szCs w:val="24"/>
        </w:rPr>
        <w:t xml:space="preserve"> covering claimant count and students choosing STEM and Construction </w:t>
      </w:r>
      <w:r w:rsidR="0089317A">
        <w:rPr>
          <w:rFonts w:ascii="Arial" w:hAnsi="Arial" w:cs="Arial"/>
          <w:bCs/>
          <w:sz w:val="24"/>
          <w:szCs w:val="24"/>
        </w:rPr>
        <w:t xml:space="preserve">degrees at </w:t>
      </w:r>
      <w:proofErr w:type="spellStart"/>
      <w:r w:rsidR="0089317A">
        <w:rPr>
          <w:rFonts w:ascii="Arial" w:hAnsi="Arial" w:cs="Arial"/>
          <w:bCs/>
          <w:sz w:val="24"/>
          <w:szCs w:val="24"/>
        </w:rPr>
        <w:t>UCLan</w:t>
      </w:r>
      <w:proofErr w:type="spellEnd"/>
      <w:r w:rsidR="0089317A">
        <w:rPr>
          <w:rFonts w:ascii="Arial" w:hAnsi="Arial" w:cs="Arial"/>
          <w:bCs/>
          <w:sz w:val="24"/>
          <w:szCs w:val="24"/>
        </w:rPr>
        <w:t xml:space="preserve">. These are the only datasets that </w:t>
      </w:r>
      <w:r w:rsidR="003A15FC">
        <w:rPr>
          <w:rFonts w:ascii="Arial" w:hAnsi="Arial" w:cs="Arial"/>
          <w:bCs/>
          <w:sz w:val="24"/>
          <w:szCs w:val="24"/>
        </w:rPr>
        <w:t>have remained consistent throughout the City Deal programme</w:t>
      </w:r>
      <w:r w:rsidR="0089317A">
        <w:rPr>
          <w:rFonts w:ascii="Arial" w:hAnsi="Arial" w:cs="Arial"/>
          <w:bCs/>
          <w:sz w:val="24"/>
          <w:szCs w:val="24"/>
        </w:rPr>
        <w:t xml:space="preserve">. </w:t>
      </w:r>
    </w:p>
    <w:p w14:paraId="6C0C0D94" w14:textId="18C58C34" w:rsidR="00840E38" w:rsidRDefault="00BD78E5" w:rsidP="00FD6F4E">
      <w:pPr>
        <w:rPr>
          <w:rFonts w:ascii="Arial" w:hAnsi="Arial" w:cs="Arial"/>
          <w:i/>
          <w:iCs/>
          <w:sz w:val="24"/>
          <w:szCs w:val="24"/>
        </w:rPr>
      </w:pPr>
      <w:r w:rsidRPr="00FA5981">
        <w:rPr>
          <w:rFonts w:ascii="Arial" w:hAnsi="Arial" w:cs="Arial"/>
          <w:i/>
          <w:iCs/>
          <w:sz w:val="24"/>
          <w:szCs w:val="24"/>
        </w:rPr>
        <w:t>1.1</w:t>
      </w:r>
      <w:r w:rsidR="00FA5981" w:rsidRPr="00FA5981">
        <w:rPr>
          <w:rFonts w:ascii="Arial" w:hAnsi="Arial" w:cs="Arial"/>
          <w:i/>
          <w:iCs/>
          <w:sz w:val="24"/>
          <w:szCs w:val="24"/>
        </w:rPr>
        <w:t>.1</w:t>
      </w:r>
      <w:r w:rsidR="00FD6F4E" w:rsidRPr="00FA5981">
        <w:rPr>
          <w:rFonts w:ascii="Arial" w:hAnsi="Arial" w:cs="Arial"/>
          <w:i/>
          <w:iCs/>
          <w:sz w:val="24"/>
          <w:szCs w:val="24"/>
        </w:rPr>
        <w:t>.</w:t>
      </w:r>
      <w:r w:rsidR="00AA6679">
        <w:rPr>
          <w:rFonts w:ascii="Arial" w:hAnsi="Arial" w:cs="Arial"/>
          <w:i/>
          <w:iCs/>
          <w:sz w:val="24"/>
          <w:szCs w:val="24"/>
        </w:rPr>
        <w:tab/>
      </w:r>
      <w:r w:rsidR="00FD6F4E" w:rsidRPr="00FA5981">
        <w:rPr>
          <w:rFonts w:ascii="Arial" w:hAnsi="Arial" w:cs="Arial"/>
          <w:i/>
          <w:iCs/>
          <w:sz w:val="24"/>
          <w:szCs w:val="24"/>
        </w:rPr>
        <w:t xml:space="preserve">New students choosing STEM and </w:t>
      </w:r>
      <w:r w:rsidR="00DE18AE">
        <w:rPr>
          <w:rFonts w:ascii="Arial" w:hAnsi="Arial" w:cs="Arial"/>
          <w:i/>
          <w:iCs/>
          <w:sz w:val="24"/>
          <w:szCs w:val="24"/>
        </w:rPr>
        <w:t>C</w:t>
      </w:r>
      <w:r w:rsidR="00FD6F4E" w:rsidRPr="00FA5981">
        <w:rPr>
          <w:rFonts w:ascii="Arial" w:hAnsi="Arial" w:cs="Arial"/>
          <w:i/>
          <w:iCs/>
          <w:sz w:val="24"/>
          <w:szCs w:val="24"/>
        </w:rPr>
        <w:t xml:space="preserve">onstruction undergraduate degree subjects at </w:t>
      </w:r>
      <w:proofErr w:type="spellStart"/>
      <w:proofErr w:type="gramStart"/>
      <w:r w:rsidR="00FD6F4E" w:rsidRPr="00FA5981">
        <w:rPr>
          <w:rFonts w:ascii="Arial" w:hAnsi="Arial" w:cs="Arial"/>
          <w:i/>
          <w:iCs/>
          <w:sz w:val="24"/>
          <w:szCs w:val="24"/>
        </w:rPr>
        <w:t>UCLan</w:t>
      </w:r>
      <w:proofErr w:type="spellEnd"/>
      <w:proofErr w:type="gramEnd"/>
    </w:p>
    <w:p w14:paraId="6DA05844" w14:textId="3B671D71" w:rsidR="00840E38" w:rsidRDefault="00840E38">
      <w:pPr>
        <w:rPr>
          <w:rFonts w:ascii="Arial" w:hAnsi="Arial" w:cs="Arial"/>
          <w:i/>
          <w:iCs/>
          <w:sz w:val="24"/>
          <w:szCs w:val="24"/>
        </w:rPr>
      </w:pPr>
      <w:r>
        <w:rPr>
          <w:rFonts w:ascii="Arial" w:hAnsi="Arial" w:cs="Arial"/>
          <w:i/>
          <w:iCs/>
          <w:sz w:val="24"/>
          <w:szCs w:val="24"/>
        </w:rPr>
        <w:br w:type="page"/>
      </w:r>
    </w:p>
    <w:p w14:paraId="7DE151E3" w14:textId="77777777" w:rsidR="00840E38" w:rsidRDefault="00840E38" w:rsidP="00FD6F4E">
      <w:pPr>
        <w:rPr>
          <w:rFonts w:ascii="Arial" w:hAnsi="Arial" w:cs="Arial"/>
          <w:i/>
          <w:iCs/>
          <w:sz w:val="24"/>
          <w:szCs w:val="24"/>
        </w:rPr>
      </w:pPr>
    </w:p>
    <w:p w14:paraId="195B3C06" w14:textId="77777777" w:rsidR="00840E38" w:rsidRPr="00FA5981" w:rsidRDefault="00840E38" w:rsidP="00FD6F4E">
      <w:pPr>
        <w:rPr>
          <w:rFonts w:ascii="Arial" w:hAnsi="Arial" w:cs="Arial"/>
          <w:i/>
          <w:iCs/>
          <w:sz w:val="24"/>
          <w:szCs w:val="24"/>
        </w:rPr>
      </w:pPr>
    </w:p>
    <w:tbl>
      <w:tblPr>
        <w:tblW w:w="5425" w:type="pct"/>
        <w:tblLayout w:type="fixed"/>
        <w:tblLook w:val="04A0" w:firstRow="1" w:lastRow="0" w:firstColumn="1" w:lastColumn="0" w:noHBand="0" w:noVBand="1"/>
      </w:tblPr>
      <w:tblGrid>
        <w:gridCol w:w="2313"/>
        <w:gridCol w:w="1086"/>
        <w:gridCol w:w="710"/>
        <w:gridCol w:w="708"/>
        <w:gridCol w:w="709"/>
        <w:gridCol w:w="707"/>
        <w:gridCol w:w="707"/>
        <w:gridCol w:w="711"/>
        <w:gridCol w:w="707"/>
        <w:gridCol w:w="707"/>
        <w:gridCol w:w="707"/>
      </w:tblGrid>
      <w:tr w:rsidR="00FD6F4E" w14:paraId="2C25E988" w14:textId="77777777" w:rsidTr="0066642A">
        <w:trPr>
          <w:trHeight w:val="300"/>
        </w:trPr>
        <w:tc>
          <w:tcPr>
            <w:tcW w:w="1183" w:type="pct"/>
            <w:tcBorders>
              <w:top w:val="single" w:sz="8" w:space="0" w:color="auto"/>
              <w:left w:val="single" w:sz="8" w:space="0" w:color="auto"/>
              <w:bottom w:val="nil"/>
              <w:right w:val="single" w:sz="8" w:space="0" w:color="auto"/>
            </w:tcBorders>
            <w:shd w:val="clear" w:color="auto" w:fill="F2F2F2"/>
            <w:vAlign w:val="center"/>
            <w:hideMark/>
          </w:tcPr>
          <w:p w14:paraId="1BF275A0"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555" w:type="pct"/>
            <w:tcBorders>
              <w:top w:val="single" w:sz="8" w:space="0" w:color="auto"/>
              <w:left w:val="nil"/>
              <w:bottom w:val="nil"/>
              <w:right w:val="nil"/>
            </w:tcBorders>
            <w:shd w:val="clear" w:color="auto" w:fill="F2F2F2"/>
            <w:vAlign w:val="center"/>
            <w:hideMark/>
          </w:tcPr>
          <w:p w14:paraId="3F973D49"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363"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28170245"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w:t>
            </w:r>
          </w:p>
        </w:tc>
        <w:tc>
          <w:tcPr>
            <w:tcW w:w="362"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15BEE85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Yr.2 </w:t>
            </w:r>
          </w:p>
        </w:tc>
        <w:tc>
          <w:tcPr>
            <w:tcW w:w="363"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57E4DC59"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Yr.3 </w:t>
            </w:r>
          </w:p>
        </w:tc>
        <w:tc>
          <w:tcPr>
            <w:tcW w:w="362" w:type="pct"/>
            <w:vMerge w:val="restart"/>
            <w:tcBorders>
              <w:top w:val="single" w:sz="8" w:space="0" w:color="auto"/>
              <w:left w:val="single" w:sz="8" w:space="0" w:color="auto"/>
              <w:bottom w:val="single" w:sz="8" w:space="0" w:color="000000"/>
              <w:right w:val="single" w:sz="8" w:space="0" w:color="auto"/>
            </w:tcBorders>
            <w:shd w:val="clear" w:color="auto" w:fill="F2F2F2"/>
            <w:vAlign w:val="center"/>
            <w:hideMark/>
          </w:tcPr>
          <w:p w14:paraId="01E634C0"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Yr.4</w:t>
            </w:r>
          </w:p>
        </w:tc>
        <w:tc>
          <w:tcPr>
            <w:tcW w:w="362" w:type="pct"/>
            <w:vMerge w:val="restart"/>
            <w:tcBorders>
              <w:top w:val="single" w:sz="8" w:space="0" w:color="auto"/>
              <w:left w:val="nil"/>
              <w:bottom w:val="single" w:sz="8" w:space="0" w:color="000000"/>
              <w:right w:val="single" w:sz="8" w:space="0" w:color="auto"/>
            </w:tcBorders>
            <w:shd w:val="clear" w:color="auto" w:fill="F2F2F2"/>
            <w:vAlign w:val="center"/>
            <w:hideMark/>
          </w:tcPr>
          <w:p w14:paraId="77826B3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Yr.5*</w:t>
            </w:r>
          </w:p>
        </w:tc>
        <w:tc>
          <w:tcPr>
            <w:tcW w:w="364" w:type="pct"/>
            <w:vMerge w:val="restart"/>
            <w:tcBorders>
              <w:top w:val="single" w:sz="8" w:space="0" w:color="auto"/>
              <w:left w:val="nil"/>
              <w:bottom w:val="single" w:sz="8" w:space="0" w:color="000000"/>
              <w:right w:val="single" w:sz="8" w:space="0" w:color="auto"/>
            </w:tcBorders>
            <w:shd w:val="clear" w:color="auto" w:fill="F2F2F2"/>
            <w:vAlign w:val="center"/>
            <w:hideMark/>
          </w:tcPr>
          <w:p w14:paraId="6158D38F"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Yr.6</w:t>
            </w:r>
          </w:p>
        </w:tc>
        <w:tc>
          <w:tcPr>
            <w:tcW w:w="362" w:type="pct"/>
            <w:vMerge w:val="restart"/>
            <w:tcBorders>
              <w:top w:val="single" w:sz="8" w:space="0" w:color="auto"/>
              <w:left w:val="nil"/>
              <w:bottom w:val="single" w:sz="8" w:space="0" w:color="000000"/>
              <w:right w:val="single" w:sz="8" w:space="0" w:color="auto"/>
            </w:tcBorders>
            <w:shd w:val="clear" w:color="auto" w:fill="F2F2F2"/>
            <w:vAlign w:val="center"/>
          </w:tcPr>
          <w:p w14:paraId="27B901F9"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Yr.7</w:t>
            </w:r>
          </w:p>
        </w:tc>
        <w:tc>
          <w:tcPr>
            <w:tcW w:w="362" w:type="pct"/>
            <w:vMerge w:val="restart"/>
            <w:tcBorders>
              <w:top w:val="single" w:sz="8" w:space="0" w:color="auto"/>
              <w:left w:val="nil"/>
              <w:right w:val="single" w:sz="8" w:space="0" w:color="auto"/>
            </w:tcBorders>
            <w:shd w:val="clear" w:color="auto" w:fill="F2F2F2"/>
            <w:vAlign w:val="center"/>
          </w:tcPr>
          <w:p w14:paraId="7F8D6BF2"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Yr.8</w:t>
            </w:r>
          </w:p>
        </w:tc>
        <w:tc>
          <w:tcPr>
            <w:tcW w:w="363" w:type="pct"/>
            <w:vMerge w:val="restart"/>
            <w:tcBorders>
              <w:top w:val="single" w:sz="8" w:space="0" w:color="auto"/>
              <w:left w:val="nil"/>
              <w:right w:val="single" w:sz="8" w:space="0" w:color="auto"/>
            </w:tcBorders>
            <w:shd w:val="clear" w:color="auto" w:fill="F2F2F2"/>
            <w:vAlign w:val="center"/>
          </w:tcPr>
          <w:p w14:paraId="6F730F7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Yr.9</w:t>
            </w:r>
          </w:p>
        </w:tc>
      </w:tr>
      <w:tr w:rsidR="00FD6F4E" w14:paraId="10094C6A" w14:textId="77777777" w:rsidTr="0066642A">
        <w:trPr>
          <w:trHeight w:val="351"/>
        </w:trPr>
        <w:tc>
          <w:tcPr>
            <w:tcW w:w="1183" w:type="pct"/>
            <w:tcBorders>
              <w:top w:val="nil"/>
              <w:left w:val="single" w:sz="8" w:space="0" w:color="auto"/>
              <w:bottom w:val="nil"/>
              <w:right w:val="single" w:sz="8" w:space="0" w:color="auto"/>
            </w:tcBorders>
            <w:shd w:val="clear" w:color="auto" w:fill="F2F2F2"/>
            <w:vAlign w:val="center"/>
            <w:hideMark/>
          </w:tcPr>
          <w:p w14:paraId="457CC605"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555" w:type="pct"/>
            <w:vMerge w:val="restart"/>
            <w:tcBorders>
              <w:top w:val="nil"/>
              <w:left w:val="single" w:sz="8" w:space="0" w:color="auto"/>
              <w:bottom w:val="single" w:sz="8" w:space="0" w:color="000000"/>
              <w:right w:val="single" w:sz="8" w:space="0" w:color="auto"/>
            </w:tcBorders>
            <w:shd w:val="clear" w:color="auto" w:fill="F2F2F2"/>
            <w:vAlign w:val="center"/>
            <w:hideMark/>
          </w:tcPr>
          <w:p w14:paraId="5EC58FD2" w14:textId="77777777" w:rsidR="00FD6F4E" w:rsidRDefault="00FD6F4E"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363" w:type="pct"/>
            <w:vMerge/>
            <w:tcBorders>
              <w:top w:val="single" w:sz="8" w:space="0" w:color="auto"/>
              <w:left w:val="single" w:sz="8" w:space="0" w:color="auto"/>
              <w:bottom w:val="single" w:sz="8" w:space="0" w:color="000000"/>
              <w:right w:val="single" w:sz="8" w:space="0" w:color="auto"/>
            </w:tcBorders>
            <w:vAlign w:val="center"/>
            <w:hideMark/>
          </w:tcPr>
          <w:p w14:paraId="5C2B5B9B" w14:textId="77777777" w:rsidR="00FD6F4E" w:rsidRDefault="00FD6F4E" w:rsidP="000D4AFF">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14:paraId="06662DDE" w14:textId="77777777" w:rsidR="00FD6F4E" w:rsidRDefault="00FD6F4E" w:rsidP="000D4AFF">
            <w:pPr>
              <w:spacing w:after="0"/>
              <w:rPr>
                <w:rFonts w:ascii="Arial" w:eastAsia="Times New Roman" w:hAnsi="Arial" w:cs="Arial"/>
                <w:b/>
                <w:bCs/>
                <w:color w:val="000000"/>
                <w:sz w:val="16"/>
                <w:szCs w:val="16"/>
                <w:lang w:eastAsia="en-GB"/>
              </w:rPr>
            </w:pPr>
          </w:p>
        </w:tc>
        <w:tc>
          <w:tcPr>
            <w:tcW w:w="363" w:type="pct"/>
            <w:vMerge/>
            <w:tcBorders>
              <w:top w:val="single" w:sz="8" w:space="0" w:color="auto"/>
              <w:left w:val="single" w:sz="8" w:space="0" w:color="auto"/>
              <w:bottom w:val="single" w:sz="8" w:space="0" w:color="000000"/>
              <w:right w:val="single" w:sz="8" w:space="0" w:color="auto"/>
            </w:tcBorders>
            <w:vAlign w:val="center"/>
            <w:hideMark/>
          </w:tcPr>
          <w:p w14:paraId="18FA47FC" w14:textId="77777777" w:rsidR="00FD6F4E" w:rsidRDefault="00FD6F4E" w:rsidP="000D4AFF">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14:paraId="54A85A13" w14:textId="77777777" w:rsidR="00FD6F4E" w:rsidRDefault="00FD6F4E" w:rsidP="000D4AFF">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nil"/>
              <w:bottom w:val="single" w:sz="8" w:space="0" w:color="000000"/>
              <w:right w:val="single" w:sz="8" w:space="0" w:color="auto"/>
            </w:tcBorders>
            <w:vAlign w:val="center"/>
            <w:hideMark/>
          </w:tcPr>
          <w:p w14:paraId="59946856" w14:textId="77777777" w:rsidR="00FD6F4E" w:rsidRDefault="00FD6F4E" w:rsidP="000D4AFF">
            <w:pPr>
              <w:spacing w:after="0"/>
              <w:rPr>
                <w:rFonts w:ascii="Arial" w:eastAsia="Times New Roman" w:hAnsi="Arial" w:cs="Arial"/>
                <w:b/>
                <w:bCs/>
                <w:color w:val="000000"/>
                <w:sz w:val="16"/>
                <w:szCs w:val="16"/>
                <w:lang w:eastAsia="en-GB"/>
              </w:rPr>
            </w:pPr>
          </w:p>
        </w:tc>
        <w:tc>
          <w:tcPr>
            <w:tcW w:w="364" w:type="pct"/>
            <w:vMerge/>
            <w:tcBorders>
              <w:top w:val="single" w:sz="8" w:space="0" w:color="auto"/>
              <w:left w:val="nil"/>
              <w:bottom w:val="single" w:sz="8" w:space="0" w:color="000000"/>
              <w:right w:val="single" w:sz="8" w:space="0" w:color="auto"/>
            </w:tcBorders>
            <w:vAlign w:val="center"/>
            <w:hideMark/>
          </w:tcPr>
          <w:p w14:paraId="2D73987D" w14:textId="77777777" w:rsidR="00FD6F4E" w:rsidRDefault="00FD6F4E" w:rsidP="000D4AFF">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nil"/>
              <w:bottom w:val="single" w:sz="8" w:space="0" w:color="000000"/>
              <w:right w:val="single" w:sz="8" w:space="0" w:color="auto"/>
            </w:tcBorders>
            <w:vAlign w:val="center"/>
            <w:hideMark/>
          </w:tcPr>
          <w:p w14:paraId="46ADC6CE" w14:textId="77777777" w:rsidR="00FD6F4E" w:rsidRDefault="00FD6F4E" w:rsidP="000D4AFF">
            <w:pPr>
              <w:spacing w:after="0"/>
              <w:rPr>
                <w:rFonts w:ascii="Arial" w:eastAsia="Times New Roman" w:hAnsi="Arial" w:cs="Arial"/>
                <w:b/>
                <w:bCs/>
                <w:color w:val="000000"/>
                <w:sz w:val="16"/>
                <w:szCs w:val="16"/>
                <w:lang w:eastAsia="en-GB"/>
              </w:rPr>
            </w:pPr>
          </w:p>
        </w:tc>
        <w:tc>
          <w:tcPr>
            <w:tcW w:w="362" w:type="pct"/>
            <w:vMerge/>
            <w:tcBorders>
              <w:left w:val="nil"/>
              <w:bottom w:val="single" w:sz="8" w:space="0" w:color="000000"/>
              <w:right w:val="single" w:sz="8" w:space="0" w:color="auto"/>
            </w:tcBorders>
            <w:vAlign w:val="center"/>
          </w:tcPr>
          <w:p w14:paraId="13B0AD0C" w14:textId="77777777" w:rsidR="00FD6F4E" w:rsidRDefault="00FD6F4E" w:rsidP="000D4AFF">
            <w:pPr>
              <w:spacing w:after="0"/>
              <w:rPr>
                <w:rFonts w:ascii="Arial" w:eastAsia="Times New Roman" w:hAnsi="Arial" w:cs="Arial"/>
                <w:b/>
                <w:bCs/>
                <w:color w:val="000000"/>
                <w:sz w:val="16"/>
                <w:szCs w:val="16"/>
                <w:lang w:eastAsia="en-GB"/>
              </w:rPr>
            </w:pPr>
          </w:p>
        </w:tc>
        <w:tc>
          <w:tcPr>
            <w:tcW w:w="363" w:type="pct"/>
            <w:vMerge/>
            <w:tcBorders>
              <w:left w:val="nil"/>
              <w:bottom w:val="single" w:sz="8" w:space="0" w:color="000000"/>
              <w:right w:val="single" w:sz="8" w:space="0" w:color="auto"/>
            </w:tcBorders>
            <w:vAlign w:val="center"/>
          </w:tcPr>
          <w:p w14:paraId="7BEB6186" w14:textId="77777777" w:rsidR="00FD6F4E" w:rsidRDefault="00FD6F4E" w:rsidP="000D4AFF">
            <w:pPr>
              <w:spacing w:after="0"/>
              <w:rPr>
                <w:rFonts w:ascii="Arial" w:eastAsia="Times New Roman" w:hAnsi="Arial" w:cs="Arial"/>
                <w:b/>
                <w:bCs/>
                <w:color w:val="000000"/>
                <w:sz w:val="16"/>
                <w:szCs w:val="16"/>
                <w:lang w:eastAsia="en-GB"/>
              </w:rPr>
            </w:pPr>
          </w:p>
        </w:tc>
      </w:tr>
      <w:tr w:rsidR="00FD6F4E" w:rsidRPr="0005260B" w14:paraId="6EAE6A21" w14:textId="77777777" w:rsidTr="0066642A">
        <w:trPr>
          <w:trHeight w:val="315"/>
        </w:trPr>
        <w:tc>
          <w:tcPr>
            <w:tcW w:w="1183" w:type="pct"/>
            <w:tcBorders>
              <w:top w:val="nil"/>
              <w:left w:val="single" w:sz="8" w:space="0" w:color="auto"/>
              <w:bottom w:val="nil"/>
              <w:right w:val="single" w:sz="8" w:space="0" w:color="auto"/>
            </w:tcBorders>
            <w:shd w:val="clear" w:color="auto" w:fill="F2F2F2"/>
            <w:vAlign w:val="center"/>
            <w:hideMark/>
          </w:tcPr>
          <w:p w14:paraId="4FC5465D"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555" w:type="pct"/>
            <w:vMerge/>
            <w:tcBorders>
              <w:top w:val="nil"/>
              <w:left w:val="single" w:sz="8" w:space="0" w:color="auto"/>
              <w:bottom w:val="single" w:sz="8" w:space="0" w:color="000000"/>
              <w:right w:val="single" w:sz="8" w:space="0" w:color="auto"/>
            </w:tcBorders>
            <w:vAlign w:val="center"/>
            <w:hideMark/>
          </w:tcPr>
          <w:p w14:paraId="5E293F0A" w14:textId="77777777" w:rsidR="00FD6F4E" w:rsidRDefault="00FD6F4E" w:rsidP="000D4AFF">
            <w:pPr>
              <w:spacing w:after="0"/>
              <w:rPr>
                <w:rFonts w:ascii="Arial" w:eastAsia="Times New Roman" w:hAnsi="Arial" w:cs="Arial"/>
                <w:b/>
                <w:bCs/>
                <w:color w:val="000000"/>
                <w:sz w:val="16"/>
                <w:szCs w:val="16"/>
                <w:lang w:eastAsia="en-GB"/>
              </w:rPr>
            </w:pPr>
          </w:p>
        </w:tc>
        <w:tc>
          <w:tcPr>
            <w:tcW w:w="363" w:type="pct"/>
            <w:tcBorders>
              <w:top w:val="nil"/>
              <w:left w:val="nil"/>
              <w:bottom w:val="single" w:sz="8" w:space="0" w:color="auto"/>
              <w:right w:val="nil"/>
            </w:tcBorders>
            <w:shd w:val="clear" w:color="auto" w:fill="F2F2F2"/>
            <w:vAlign w:val="center"/>
            <w:hideMark/>
          </w:tcPr>
          <w:p w14:paraId="6F6459FE"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13/14</w:t>
            </w:r>
          </w:p>
        </w:tc>
        <w:tc>
          <w:tcPr>
            <w:tcW w:w="362" w:type="pct"/>
            <w:tcBorders>
              <w:top w:val="nil"/>
              <w:left w:val="single" w:sz="8" w:space="0" w:color="auto"/>
              <w:bottom w:val="single" w:sz="8" w:space="0" w:color="auto"/>
              <w:right w:val="nil"/>
            </w:tcBorders>
            <w:shd w:val="clear" w:color="auto" w:fill="F2F2F2"/>
            <w:vAlign w:val="center"/>
            <w:hideMark/>
          </w:tcPr>
          <w:p w14:paraId="77DD4CA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14/15</w:t>
            </w:r>
          </w:p>
        </w:tc>
        <w:tc>
          <w:tcPr>
            <w:tcW w:w="363" w:type="pct"/>
            <w:tcBorders>
              <w:top w:val="nil"/>
              <w:left w:val="single" w:sz="8" w:space="0" w:color="auto"/>
              <w:bottom w:val="single" w:sz="8" w:space="0" w:color="auto"/>
              <w:right w:val="nil"/>
            </w:tcBorders>
            <w:shd w:val="clear" w:color="auto" w:fill="F2F2F2"/>
            <w:vAlign w:val="center"/>
            <w:hideMark/>
          </w:tcPr>
          <w:p w14:paraId="7FD355C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15/16</w:t>
            </w:r>
          </w:p>
        </w:tc>
        <w:tc>
          <w:tcPr>
            <w:tcW w:w="362" w:type="pct"/>
            <w:tcBorders>
              <w:top w:val="nil"/>
              <w:left w:val="single" w:sz="8" w:space="0" w:color="auto"/>
              <w:bottom w:val="single" w:sz="8" w:space="0" w:color="auto"/>
              <w:right w:val="nil"/>
            </w:tcBorders>
            <w:shd w:val="clear" w:color="auto" w:fill="F2F2F2"/>
            <w:vAlign w:val="center"/>
            <w:hideMark/>
          </w:tcPr>
          <w:p w14:paraId="698F61ED"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16/17</w:t>
            </w:r>
          </w:p>
        </w:tc>
        <w:tc>
          <w:tcPr>
            <w:tcW w:w="362" w:type="pct"/>
            <w:tcBorders>
              <w:top w:val="nil"/>
              <w:left w:val="single" w:sz="8" w:space="0" w:color="auto"/>
              <w:bottom w:val="single" w:sz="8" w:space="0" w:color="auto"/>
              <w:right w:val="nil"/>
            </w:tcBorders>
            <w:shd w:val="clear" w:color="auto" w:fill="F2F2F2"/>
            <w:vAlign w:val="center"/>
            <w:hideMark/>
          </w:tcPr>
          <w:p w14:paraId="3CACB3D0"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17/18</w:t>
            </w:r>
          </w:p>
        </w:tc>
        <w:tc>
          <w:tcPr>
            <w:tcW w:w="364" w:type="pct"/>
            <w:tcBorders>
              <w:top w:val="nil"/>
              <w:left w:val="single" w:sz="8" w:space="0" w:color="auto"/>
              <w:bottom w:val="single" w:sz="8" w:space="0" w:color="auto"/>
              <w:right w:val="single" w:sz="8" w:space="0" w:color="auto"/>
            </w:tcBorders>
            <w:shd w:val="clear" w:color="auto" w:fill="F2F2F2"/>
            <w:vAlign w:val="center"/>
            <w:hideMark/>
          </w:tcPr>
          <w:p w14:paraId="487B0FE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18/19</w:t>
            </w:r>
          </w:p>
        </w:tc>
        <w:tc>
          <w:tcPr>
            <w:tcW w:w="362" w:type="pct"/>
            <w:tcBorders>
              <w:top w:val="nil"/>
              <w:left w:val="single" w:sz="8" w:space="0" w:color="auto"/>
              <w:bottom w:val="single" w:sz="8" w:space="0" w:color="auto"/>
              <w:right w:val="single" w:sz="8" w:space="0" w:color="auto"/>
            </w:tcBorders>
            <w:shd w:val="clear" w:color="auto" w:fill="F2F2F2"/>
            <w:vAlign w:val="center"/>
            <w:hideMark/>
          </w:tcPr>
          <w:p w14:paraId="341EB703"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19/20</w:t>
            </w:r>
          </w:p>
        </w:tc>
        <w:tc>
          <w:tcPr>
            <w:tcW w:w="362" w:type="pct"/>
            <w:tcBorders>
              <w:top w:val="nil"/>
              <w:left w:val="single" w:sz="8" w:space="0" w:color="auto"/>
              <w:bottom w:val="single" w:sz="8" w:space="0" w:color="auto"/>
              <w:right w:val="single" w:sz="8" w:space="0" w:color="auto"/>
            </w:tcBorders>
            <w:shd w:val="clear" w:color="auto" w:fill="F2F2F2"/>
            <w:vAlign w:val="center"/>
          </w:tcPr>
          <w:p w14:paraId="195FC59C"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20/21</w:t>
            </w:r>
          </w:p>
        </w:tc>
        <w:tc>
          <w:tcPr>
            <w:tcW w:w="363" w:type="pct"/>
            <w:tcBorders>
              <w:top w:val="nil"/>
              <w:left w:val="single" w:sz="8" w:space="0" w:color="auto"/>
              <w:bottom w:val="single" w:sz="8" w:space="0" w:color="auto"/>
              <w:right w:val="single" w:sz="8" w:space="0" w:color="auto"/>
            </w:tcBorders>
            <w:shd w:val="clear" w:color="auto" w:fill="F2F2F2"/>
            <w:vAlign w:val="center"/>
          </w:tcPr>
          <w:p w14:paraId="0A2CAB25"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21/22</w:t>
            </w:r>
          </w:p>
        </w:tc>
      </w:tr>
      <w:tr w:rsidR="00FD6F4E" w14:paraId="5457D4FE" w14:textId="77777777" w:rsidTr="0066642A">
        <w:trPr>
          <w:trHeight w:val="315"/>
        </w:trPr>
        <w:tc>
          <w:tcPr>
            <w:tcW w:w="1183" w:type="pct"/>
            <w:tcBorders>
              <w:top w:val="nil"/>
              <w:left w:val="single" w:sz="8" w:space="0" w:color="auto"/>
              <w:bottom w:val="single" w:sz="8" w:space="0" w:color="auto"/>
              <w:right w:val="single" w:sz="8" w:space="0" w:color="auto"/>
            </w:tcBorders>
            <w:shd w:val="clear" w:color="auto" w:fill="F2F2F2"/>
            <w:vAlign w:val="center"/>
            <w:hideMark/>
          </w:tcPr>
          <w:p w14:paraId="342A5CF7"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roofErr w:type="gramStart"/>
            <w:r>
              <w:rPr>
                <w:rFonts w:ascii="Arial" w:eastAsia="Times New Roman" w:hAnsi="Arial" w:cs="Arial"/>
                <w:color w:val="000000"/>
                <w:sz w:val="16"/>
                <w:szCs w:val="16"/>
                <w:lang w:eastAsia="en-GB"/>
              </w:rPr>
              <w:t>refers</w:t>
            </w:r>
            <w:proofErr w:type="gramEnd"/>
            <w:r>
              <w:rPr>
                <w:rFonts w:ascii="Arial" w:eastAsia="Times New Roman" w:hAnsi="Arial" w:cs="Arial"/>
                <w:color w:val="000000"/>
                <w:sz w:val="16"/>
                <w:szCs w:val="16"/>
                <w:lang w:eastAsia="en-GB"/>
              </w:rPr>
              <w:t xml:space="preserve"> to academic year</w:t>
            </w:r>
          </w:p>
        </w:tc>
        <w:tc>
          <w:tcPr>
            <w:tcW w:w="555" w:type="pct"/>
            <w:vMerge/>
            <w:tcBorders>
              <w:top w:val="nil"/>
              <w:left w:val="single" w:sz="8" w:space="0" w:color="auto"/>
              <w:bottom w:val="single" w:sz="8" w:space="0" w:color="000000"/>
              <w:right w:val="single" w:sz="8" w:space="0" w:color="auto"/>
            </w:tcBorders>
            <w:vAlign w:val="center"/>
            <w:hideMark/>
          </w:tcPr>
          <w:p w14:paraId="583D35A3" w14:textId="77777777" w:rsidR="00FD6F4E" w:rsidRDefault="00FD6F4E" w:rsidP="000D4AFF">
            <w:pPr>
              <w:spacing w:after="0"/>
              <w:rPr>
                <w:rFonts w:ascii="Arial" w:eastAsia="Times New Roman" w:hAnsi="Arial" w:cs="Arial"/>
                <w:b/>
                <w:bCs/>
                <w:color w:val="000000"/>
                <w:sz w:val="16"/>
                <w:szCs w:val="16"/>
                <w:lang w:eastAsia="en-GB"/>
              </w:rPr>
            </w:pPr>
          </w:p>
        </w:tc>
        <w:tc>
          <w:tcPr>
            <w:tcW w:w="363" w:type="pct"/>
            <w:tcBorders>
              <w:top w:val="nil"/>
              <w:left w:val="nil"/>
              <w:bottom w:val="nil"/>
              <w:right w:val="single" w:sz="8" w:space="0" w:color="auto"/>
            </w:tcBorders>
            <w:shd w:val="clear" w:color="auto" w:fill="F2F2F2"/>
            <w:vAlign w:val="center"/>
            <w:hideMark/>
          </w:tcPr>
          <w:p w14:paraId="3F3F9A1D"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nil"/>
              <w:right w:val="single" w:sz="8" w:space="0" w:color="auto"/>
            </w:tcBorders>
            <w:shd w:val="clear" w:color="auto" w:fill="F2F2F2"/>
            <w:vAlign w:val="center"/>
            <w:hideMark/>
          </w:tcPr>
          <w:p w14:paraId="06081398"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3" w:type="pct"/>
            <w:tcBorders>
              <w:top w:val="nil"/>
              <w:left w:val="nil"/>
              <w:bottom w:val="nil"/>
              <w:right w:val="single" w:sz="8" w:space="0" w:color="auto"/>
            </w:tcBorders>
            <w:shd w:val="clear" w:color="auto" w:fill="F2F2F2"/>
            <w:vAlign w:val="center"/>
            <w:hideMark/>
          </w:tcPr>
          <w:p w14:paraId="7EE46583"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nil"/>
              <w:right w:val="single" w:sz="8" w:space="0" w:color="auto"/>
            </w:tcBorders>
            <w:shd w:val="clear" w:color="auto" w:fill="F2F2F2"/>
            <w:vAlign w:val="center"/>
            <w:hideMark/>
          </w:tcPr>
          <w:p w14:paraId="1B1754BE"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nil"/>
              <w:right w:val="single" w:sz="8" w:space="0" w:color="auto"/>
            </w:tcBorders>
            <w:shd w:val="clear" w:color="auto" w:fill="F2F2F2"/>
            <w:vAlign w:val="center"/>
            <w:hideMark/>
          </w:tcPr>
          <w:p w14:paraId="691AC421"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4" w:type="pct"/>
            <w:tcBorders>
              <w:top w:val="nil"/>
              <w:left w:val="nil"/>
              <w:bottom w:val="nil"/>
              <w:right w:val="single" w:sz="8" w:space="0" w:color="auto"/>
            </w:tcBorders>
            <w:shd w:val="clear" w:color="auto" w:fill="F2F2F2"/>
            <w:vAlign w:val="center"/>
            <w:hideMark/>
          </w:tcPr>
          <w:p w14:paraId="42E30E4A"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nil"/>
              <w:right w:val="single" w:sz="8" w:space="0" w:color="auto"/>
            </w:tcBorders>
            <w:shd w:val="clear" w:color="auto" w:fill="F2F2F2"/>
            <w:vAlign w:val="center"/>
            <w:hideMark/>
          </w:tcPr>
          <w:p w14:paraId="1BA800BB"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nil"/>
              <w:right w:val="single" w:sz="8" w:space="0" w:color="auto"/>
            </w:tcBorders>
            <w:shd w:val="clear" w:color="auto" w:fill="F2F2F2"/>
            <w:vAlign w:val="center"/>
          </w:tcPr>
          <w:p w14:paraId="1730C33A"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3" w:type="pct"/>
            <w:tcBorders>
              <w:top w:val="nil"/>
              <w:left w:val="nil"/>
              <w:bottom w:val="nil"/>
              <w:right w:val="single" w:sz="8" w:space="0" w:color="auto"/>
            </w:tcBorders>
            <w:shd w:val="clear" w:color="auto" w:fill="F2F2F2"/>
            <w:vAlign w:val="center"/>
          </w:tcPr>
          <w:p w14:paraId="44BE51E0"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r>
      <w:tr w:rsidR="00FD6F4E" w:rsidRPr="000E6F5A" w14:paraId="78DE036D" w14:textId="77777777" w:rsidTr="0066642A">
        <w:trPr>
          <w:trHeight w:val="1635"/>
        </w:trPr>
        <w:tc>
          <w:tcPr>
            <w:tcW w:w="1183" w:type="pct"/>
            <w:tcBorders>
              <w:top w:val="nil"/>
              <w:left w:val="single" w:sz="8" w:space="0" w:color="auto"/>
              <w:bottom w:val="nil"/>
              <w:right w:val="single" w:sz="8" w:space="0" w:color="auto"/>
            </w:tcBorders>
            <w:hideMark/>
          </w:tcPr>
          <w:p w14:paraId="4892ED37" w14:textId="7378C313"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New students choosing STEM and construction undergraduate degree subjects at </w:t>
            </w:r>
            <w:proofErr w:type="spellStart"/>
            <w:proofErr w:type="gramStart"/>
            <w:r>
              <w:rPr>
                <w:rFonts w:ascii="Arial" w:eastAsia="Times New Roman" w:hAnsi="Arial" w:cs="Arial"/>
                <w:b/>
                <w:bCs/>
                <w:color w:val="000000"/>
                <w:sz w:val="16"/>
                <w:szCs w:val="16"/>
                <w:lang w:eastAsia="en-GB"/>
              </w:rPr>
              <w:t>UCLan</w:t>
            </w:r>
            <w:proofErr w:type="spellEnd"/>
            <w:proofErr w:type="gramEnd"/>
          </w:p>
          <w:p w14:paraId="47A321C2"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p w14:paraId="5852F3F4"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0165C7BD"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UCLAN</w:t>
            </w:r>
          </w:p>
          <w:p w14:paraId="38AC46F2" w14:textId="77777777" w:rsidR="00FD6F4E" w:rsidRDefault="00FD6F4E"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*HESA data</w:t>
            </w:r>
          </w:p>
        </w:tc>
        <w:tc>
          <w:tcPr>
            <w:tcW w:w="555" w:type="pct"/>
            <w:tcBorders>
              <w:top w:val="nil"/>
              <w:left w:val="nil"/>
              <w:bottom w:val="nil"/>
              <w:right w:val="single" w:sz="8" w:space="0" w:color="auto"/>
            </w:tcBorders>
            <w:vAlign w:val="center"/>
            <w:hideMark/>
          </w:tcPr>
          <w:p w14:paraId="442A8EFA"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2FBBE2B1"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55F459EB" w14:textId="77777777" w:rsidR="00FD6F4E" w:rsidRDefault="00FD6F4E"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1,359</w:t>
            </w:r>
          </w:p>
          <w:p w14:paraId="1A2A805D"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6B8B2A27"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63" w:type="pct"/>
            <w:tcBorders>
              <w:top w:val="nil"/>
              <w:left w:val="nil"/>
              <w:bottom w:val="nil"/>
              <w:right w:val="single" w:sz="8" w:space="0" w:color="auto"/>
            </w:tcBorders>
            <w:vAlign w:val="center"/>
            <w:hideMark/>
          </w:tcPr>
          <w:p w14:paraId="54DD071D"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3E66C192"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071CD64F" w14:textId="77777777" w:rsidR="00FD6F4E" w:rsidRDefault="00FD6F4E"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1,431</w:t>
            </w:r>
          </w:p>
          <w:p w14:paraId="7856471F"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20F379D5"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62" w:type="pct"/>
            <w:tcBorders>
              <w:top w:val="nil"/>
              <w:left w:val="nil"/>
              <w:bottom w:val="nil"/>
              <w:right w:val="single" w:sz="8" w:space="0" w:color="auto"/>
            </w:tcBorders>
            <w:vAlign w:val="center"/>
            <w:hideMark/>
          </w:tcPr>
          <w:p w14:paraId="3795A6BD"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032A69A5"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0D238F46" w14:textId="77777777" w:rsidR="00FD6F4E" w:rsidRDefault="00FD6F4E"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1,988</w:t>
            </w:r>
          </w:p>
          <w:p w14:paraId="283C29FB"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27233979"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63" w:type="pct"/>
            <w:tcBorders>
              <w:top w:val="nil"/>
              <w:left w:val="nil"/>
              <w:bottom w:val="nil"/>
              <w:right w:val="single" w:sz="8" w:space="0" w:color="auto"/>
            </w:tcBorders>
            <w:vAlign w:val="center"/>
            <w:hideMark/>
          </w:tcPr>
          <w:p w14:paraId="0D60A380"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4F6D1ABC"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27A78D74" w14:textId="77777777" w:rsidR="00FD6F4E" w:rsidRDefault="00FD6F4E"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2,146</w:t>
            </w:r>
          </w:p>
          <w:p w14:paraId="61EA738E"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7A5FF54F"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62" w:type="pct"/>
            <w:tcBorders>
              <w:top w:val="nil"/>
              <w:left w:val="nil"/>
              <w:bottom w:val="nil"/>
              <w:right w:val="single" w:sz="8" w:space="0" w:color="auto"/>
            </w:tcBorders>
            <w:vAlign w:val="center"/>
          </w:tcPr>
          <w:p w14:paraId="4E52D906" w14:textId="77777777" w:rsidR="00FD6F4E" w:rsidRDefault="00FD6F4E" w:rsidP="000D4AFF">
            <w:pPr>
              <w:spacing w:after="0" w:line="240" w:lineRule="auto"/>
              <w:rPr>
                <w:rFonts w:ascii="Arial" w:eastAsia="Times New Roman" w:hAnsi="Arial" w:cs="Arial"/>
                <w:color w:val="000000"/>
                <w:sz w:val="16"/>
                <w:szCs w:val="16"/>
                <w:lang w:eastAsia="en-GB"/>
              </w:rPr>
            </w:pPr>
          </w:p>
          <w:p w14:paraId="5B5CA8CC" w14:textId="77777777" w:rsidR="00FD6F4E" w:rsidRDefault="00FD6F4E" w:rsidP="000D4AFF">
            <w:pPr>
              <w:spacing w:after="0" w:line="240" w:lineRule="auto"/>
              <w:rPr>
                <w:rFonts w:ascii="Arial" w:eastAsia="Times New Roman" w:hAnsi="Arial" w:cs="Arial"/>
                <w:color w:val="000000"/>
                <w:sz w:val="16"/>
                <w:szCs w:val="16"/>
                <w:lang w:eastAsia="en-GB"/>
              </w:rPr>
            </w:pPr>
          </w:p>
          <w:p w14:paraId="0CC4905A" w14:textId="77777777" w:rsidR="00FD6F4E" w:rsidRDefault="00FD6F4E"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3,120</w:t>
            </w:r>
          </w:p>
          <w:p w14:paraId="6BE271EF"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p w14:paraId="6939C23A" w14:textId="77777777" w:rsidR="00FD6F4E" w:rsidRDefault="00FD6F4E"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62" w:type="pct"/>
            <w:tcBorders>
              <w:top w:val="nil"/>
              <w:left w:val="single" w:sz="8" w:space="0" w:color="auto"/>
              <w:bottom w:val="nil"/>
              <w:right w:val="single" w:sz="8" w:space="0" w:color="auto"/>
            </w:tcBorders>
            <w:vAlign w:val="center"/>
            <w:hideMark/>
          </w:tcPr>
          <w:p w14:paraId="67DD1431" w14:textId="77777777" w:rsidR="00FD6F4E" w:rsidRDefault="00FD6F4E" w:rsidP="000D4AFF">
            <w:pPr>
              <w:spacing w:after="0" w:line="240" w:lineRule="auto"/>
              <w:jc w:val="right"/>
              <w:rPr>
                <w:rFonts w:ascii="Arial" w:eastAsia="Times New Roman" w:hAnsi="Arial" w:cs="Arial"/>
                <w:b/>
                <w:color w:val="000000"/>
                <w:sz w:val="16"/>
                <w:szCs w:val="16"/>
                <w:lang w:eastAsia="en-GB"/>
              </w:rPr>
            </w:pPr>
            <w:r>
              <w:rPr>
                <w:rFonts w:ascii="Arial" w:eastAsia="Times New Roman" w:hAnsi="Arial" w:cs="Arial"/>
                <w:b/>
                <w:color w:val="000000"/>
                <w:sz w:val="16"/>
                <w:szCs w:val="16"/>
                <w:lang w:eastAsia="en-GB"/>
              </w:rPr>
              <w:t>3,268</w:t>
            </w:r>
          </w:p>
        </w:tc>
        <w:tc>
          <w:tcPr>
            <w:tcW w:w="364" w:type="pct"/>
            <w:tcBorders>
              <w:top w:val="nil"/>
              <w:left w:val="single" w:sz="8" w:space="0" w:color="auto"/>
              <w:bottom w:val="nil"/>
              <w:right w:val="single" w:sz="8" w:space="0" w:color="auto"/>
            </w:tcBorders>
            <w:vAlign w:val="center"/>
            <w:hideMark/>
          </w:tcPr>
          <w:p w14:paraId="275C95F0" w14:textId="77777777" w:rsidR="00FD6F4E" w:rsidRPr="000E6F5A" w:rsidRDefault="00FD6F4E" w:rsidP="000D4AFF">
            <w:pPr>
              <w:spacing w:after="0" w:line="240" w:lineRule="auto"/>
              <w:rPr>
                <w:rFonts w:ascii="Arial" w:eastAsia="Times New Roman" w:hAnsi="Arial" w:cs="Arial"/>
                <w:b/>
                <w:bCs/>
                <w:color w:val="000000"/>
                <w:sz w:val="16"/>
                <w:szCs w:val="16"/>
                <w:lang w:eastAsia="en-GB"/>
              </w:rPr>
            </w:pPr>
            <w:r w:rsidRPr="000E6F5A">
              <w:rPr>
                <w:rFonts w:ascii="Arial" w:eastAsia="Times New Roman" w:hAnsi="Arial" w:cs="Arial"/>
                <w:b/>
                <w:bCs/>
                <w:color w:val="000000"/>
                <w:sz w:val="16"/>
                <w:szCs w:val="16"/>
                <w:lang w:eastAsia="en-GB"/>
              </w:rPr>
              <w:t>4,235*</w:t>
            </w:r>
          </w:p>
        </w:tc>
        <w:tc>
          <w:tcPr>
            <w:tcW w:w="362" w:type="pct"/>
            <w:tcBorders>
              <w:top w:val="nil"/>
              <w:left w:val="single" w:sz="8" w:space="0" w:color="auto"/>
              <w:bottom w:val="nil"/>
              <w:right w:val="single" w:sz="8" w:space="0" w:color="auto"/>
            </w:tcBorders>
            <w:vAlign w:val="center"/>
            <w:hideMark/>
          </w:tcPr>
          <w:p w14:paraId="25F0CE83" w14:textId="77777777" w:rsidR="00FD6F4E" w:rsidRPr="000E6F5A" w:rsidRDefault="00FD6F4E" w:rsidP="000D4AFF">
            <w:pPr>
              <w:spacing w:after="0" w:line="240" w:lineRule="auto"/>
              <w:jc w:val="center"/>
              <w:rPr>
                <w:rFonts w:ascii="Arial" w:eastAsia="Times New Roman" w:hAnsi="Arial" w:cs="Arial"/>
                <w:b/>
                <w:bCs/>
                <w:color w:val="000000"/>
                <w:sz w:val="16"/>
                <w:szCs w:val="16"/>
                <w:lang w:eastAsia="en-GB"/>
              </w:rPr>
            </w:pPr>
            <w:r w:rsidRPr="000E6F5A">
              <w:rPr>
                <w:rFonts w:ascii="Arial" w:eastAsia="Times New Roman" w:hAnsi="Arial" w:cs="Arial"/>
                <w:b/>
                <w:bCs/>
                <w:color w:val="000000"/>
                <w:sz w:val="16"/>
                <w:szCs w:val="16"/>
                <w:lang w:eastAsia="en-GB"/>
              </w:rPr>
              <w:t>4,510*</w:t>
            </w:r>
          </w:p>
        </w:tc>
        <w:tc>
          <w:tcPr>
            <w:tcW w:w="362" w:type="pct"/>
            <w:tcBorders>
              <w:top w:val="nil"/>
              <w:left w:val="single" w:sz="8" w:space="0" w:color="auto"/>
              <w:bottom w:val="nil"/>
              <w:right w:val="single" w:sz="8" w:space="0" w:color="auto"/>
            </w:tcBorders>
            <w:vAlign w:val="center"/>
          </w:tcPr>
          <w:p w14:paraId="222F4584" w14:textId="77777777" w:rsidR="00FD6F4E" w:rsidRPr="000E6F5A" w:rsidRDefault="00FD6F4E" w:rsidP="000D4AFF">
            <w:pPr>
              <w:spacing w:after="0" w:line="240" w:lineRule="auto"/>
              <w:jc w:val="center"/>
              <w:rPr>
                <w:rFonts w:ascii="Arial" w:eastAsia="Times New Roman" w:hAnsi="Arial" w:cs="Arial"/>
                <w:b/>
                <w:bCs/>
                <w:color w:val="000000"/>
                <w:sz w:val="16"/>
                <w:szCs w:val="16"/>
                <w:lang w:eastAsia="en-GB"/>
              </w:rPr>
            </w:pPr>
            <w:r w:rsidRPr="000E6F5A">
              <w:rPr>
                <w:rFonts w:ascii="Arial" w:eastAsia="Times New Roman" w:hAnsi="Arial" w:cs="Arial"/>
                <w:b/>
                <w:bCs/>
                <w:color w:val="000000"/>
                <w:sz w:val="16"/>
                <w:szCs w:val="16"/>
                <w:lang w:eastAsia="en-GB"/>
              </w:rPr>
              <w:t>4,955*</w:t>
            </w:r>
          </w:p>
        </w:tc>
        <w:tc>
          <w:tcPr>
            <w:tcW w:w="363" w:type="pct"/>
            <w:tcBorders>
              <w:top w:val="nil"/>
              <w:left w:val="single" w:sz="8" w:space="0" w:color="auto"/>
              <w:bottom w:val="nil"/>
              <w:right w:val="single" w:sz="8" w:space="0" w:color="auto"/>
            </w:tcBorders>
            <w:shd w:val="clear" w:color="auto" w:fill="auto"/>
          </w:tcPr>
          <w:p w14:paraId="0A8AAF33" w14:textId="77777777" w:rsidR="00FD6F4E" w:rsidRDefault="00FD6F4E" w:rsidP="000D4AFF">
            <w:pPr>
              <w:spacing w:after="0" w:line="240" w:lineRule="auto"/>
              <w:jc w:val="center"/>
              <w:rPr>
                <w:rFonts w:ascii="Arial" w:eastAsia="Times New Roman" w:hAnsi="Arial" w:cs="Arial"/>
                <w:b/>
                <w:bCs/>
                <w:color w:val="000000"/>
                <w:sz w:val="16"/>
                <w:szCs w:val="16"/>
                <w:lang w:eastAsia="en-GB"/>
              </w:rPr>
            </w:pPr>
          </w:p>
          <w:p w14:paraId="056FEDA1" w14:textId="77777777" w:rsidR="00FD6F4E" w:rsidRDefault="00FD6F4E" w:rsidP="000D4AFF">
            <w:pPr>
              <w:spacing w:after="0" w:line="240" w:lineRule="auto"/>
              <w:jc w:val="center"/>
              <w:rPr>
                <w:rFonts w:ascii="Arial" w:eastAsia="Times New Roman" w:hAnsi="Arial" w:cs="Arial"/>
                <w:b/>
                <w:bCs/>
                <w:color w:val="000000"/>
                <w:sz w:val="16"/>
                <w:szCs w:val="16"/>
                <w:lang w:eastAsia="en-GB"/>
              </w:rPr>
            </w:pPr>
          </w:p>
          <w:p w14:paraId="31FBF283" w14:textId="77777777" w:rsidR="00FD6F4E" w:rsidRDefault="00FD6F4E" w:rsidP="000D4AFF">
            <w:pPr>
              <w:spacing w:after="0" w:line="240" w:lineRule="auto"/>
              <w:jc w:val="center"/>
              <w:rPr>
                <w:rFonts w:ascii="Arial" w:eastAsia="Times New Roman" w:hAnsi="Arial" w:cs="Arial"/>
                <w:b/>
                <w:bCs/>
                <w:color w:val="000000"/>
                <w:sz w:val="16"/>
                <w:szCs w:val="16"/>
                <w:lang w:eastAsia="en-GB"/>
              </w:rPr>
            </w:pPr>
          </w:p>
          <w:p w14:paraId="299347D5" w14:textId="77777777" w:rsidR="00FD6F4E" w:rsidRDefault="00FD6F4E" w:rsidP="000D4AFF">
            <w:pPr>
              <w:spacing w:after="0" w:line="240" w:lineRule="auto"/>
              <w:jc w:val="center"/>
              <w:rPr>
                <w:rFonts w:ascii="Arial" w:eastAsia="Times New Roman" w:hAnsi="Arial" w:cs="Arial"/>
                <w:b/>
                <w:bCs/>
                <w:color w:val="000000"/>
                <w:sz w:val="16"/>
                <w:szCs w:val="16"/>
                <w:lang w:eastAsia="en-GB"/>
              </w:rPr>
            </w:pPr>
          </w:p>
          <w:p w14:paraId="123791B8" w14:textId="730EEB2B" w:rsidR="00FD6F4E" w:rsidRPr="000E6F5A" w:rsidRDefault="005333F8"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4,935</w:t>
            </w:r>
            <w:r w:rsidR="0066642A">
              <w:rPr>
                <w:rFonts w:ascii="Arial" w:eastAsia="Times New Roman" w:hAnsi="Arial" w:cs="Arial"/>
                <w:b/>
                <w:bCs/>
                <w:color w:val="000000"/>
                <w:sz w:val="16"/>
                <w:szCs w:val="16"/>
                <w:lang w:eastAsia="en-GB"/>
              </w:rPr>
              <w:t>*</w:t>
            </w:r>
          </w:p>
        </w:tc>
      </w:tr>
    </w:tbl>
    <w:p w14:paraId="783666A7" w14:textId="480F6980" w:rsidR="00FD6F4E" w:rsidRDefault="00FD6F4E" w:rsidP="00FD6F4E">
      <w:pPr>
        <w:spacing w:after="160" w:line="256" w:lineRule="auto"/>
        <w:rPr>
          <w:rFonts w:ascii="Arial" w:hAnsi="Arial" w:cs="Arial"/>
          <w:sz w:val="24"/>
          <w:szCs w:val="24"/>
        </w:rPr>
      </w:pPr>
    </w:p>
    <w:p w14:paraId="124F2D0B" w14:textId="77777777" w:rsidR="00840E38" w:rsidRDefault="00840E38" w:rsidP="00FD6F4E">
      <w:pPr>
        <w:spacing w:after="160" w:line="256" w:lineRule="auto"/>
        <w:rPr>
          <w:rFonts w:ascii="Arial" w:hAnsi="Arial" w:cs="Arial"/>
          <w:sz w:val="24"/>
          <w:szCs w:val="24"/>
        </w:rPr>
      </w:pPr>
    </w:p>
    <w:p w14:paraId="5A0D10D3" w14:textId="77777777" w:rsidR="00FD6F4E" w:rsidRDefault="00FD6F4E" w:rsidP="00FD6F4E">
      <w:pPr>
        <w:spacing w:after="160" w:line="256" w:lineRule="auto"/>
        <w:rPr>
          <w:rFonts w:ascii="Arial" w:hAnsi="Arial" w:cs="Arial"/>
          <w:sz w:val="24"/>
          <w:szCs w:val="24"/>
        </w:rPr>
      </w:pPr>
      <w:r w:rsidRPr="00807D72">
        <w:rPr>
          <w:rFonts w:ascii="Arial" w:hAnsi="Arial" w:cs="Arial"/>
          <w:b/>
          <w:noProof/>
          <w:sz w:val="24"/>
          <w:szCs w:val="24"/>
          <w:shd w:val="clear" w:color="auto" w:fill="D9D9D9" w:themeFill="background1" w:themeFillShade="D9"/>
        </w:rPr>
        <w:drawing>
          <wp:inline distT="0" distB="0" distL="0" distR="0" wp14:anchorId="5900FB06" wp14:editId="5EF4CDB2">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7FAC8D" w14:textId="798EBD9A" w:rsidR="007C62AE" w:rsidRDefault="00807D72" w:rsidP="00807D72">
      <w:pPr>
        <w:pStyle w:val="ListParagraph"/>
        <w:numPr>
          <w:ilvl w:val="0"/>
          <w:numId w:val="6"/>
        </w:numPr>
        <w:spacing w:after="160" w:line="256" w:lineRule="auto"/>
        <w:jc w:val="both"/>
        <w:rPr>
          <w:rFonts w:ascii="Arial" w:hAnsi="Arial" w:cs="Arial"/>
          <w:sz w:val="24"/>
          <w:szCs w:val="24"/>
        </w:rPr>
      </w:pPr>
      <w:r w:rsidRPr="008347E2">
        <w:rPr>
          <w:rFonts w:ascii="Arial" w:hAnsi="Arial" w:cs="Arial"/>
          <w:sz w:val="24"/>
          <w:szCs w:val="24"/>
        </w:rPr>
        <w:t xml:space="preserve">Data </w:t>
      </w:r>
      <w:r w:rsidR="00C7691F">
        <w:rPr>
          <w:rFonts w:ascii="Arial" w:hAnsi="Arial" w:cs="Arial"/>
          <w:sz w:val="24"/>
          <w:szCs w:val="24"/>
        </w:rPr>
        <w:t xml:space="preserve">demonstrates </w:t>
      </w:r>
      <w:r w:rsidR="005F3A09">
        <w:rPr>
          <w:rFonts w:ascii="Arial" w:hAnsi="Arial" w:cs="Arial"/>
          <w:sz w:val="24"/>
          <w:szCs w:val="24"/>
        </w:rPr>
        <w:t>a marked</w:t>
      </w:r>
      <w:r w:rsidR="00041957">
        <w:rPr>
          <w:rFonts w:ascii="Arial" w:hAnsi="Arial" w:cs="Arial"/>
          <w:sz w:val="24"/>
          <w:szCs w:val="24"/>
        </w:rPr>
        <w:t xml:space="preserve">, </w:t>
      </w:r>
      <w:r w:rsidR="00C7691F">
        <w:rPr>
          <w:rFonts w:ascii="Arial" w:hAnsi="Arial" w:cs="Arial"/>
          <w:sz w:val="24"/>
          <w:szCs w:val="24"/>
        </w:rPr>
        <w:t>stead</w:t>
      </w:r>
      <w:r w:rsidR="00CD359C">
        <w:rPr>
          <w:rFonts w:ascii="Arial" w:hAnsi="Arial" w:cs="Arial"/>
          <w:sz w:val="24"/>
          <w:szCs w:val="24"/>
        </w:rPr>
        <w:t xml:space="preserve">y </w:t>
      </w:r>
      <w:r w:rsidR="00C7691F">
        <w:rPr>
          <w:rFonts w:ascii="Arial" w:hAnsi="Arial" w:cs="Arial"/>
          <w:sz w:val="24"/>
          <w:szCs w:val="24"/>
        </w:rPr>
        <w:t xml:space="preserve">increase in the numbers of new </w:t>
      </w:r>
      <w:r w:rsidR="00CD359C">
        <w:rPr>
          <w:rFonts w:ascii="Arial" w:hAnsi="Arial" w:cs="Arial"/>
          <w:sz w:val="24"/>
          <w:szCs w:val="24"/>
        </w:rPr>
        <w:t>students</w:t>
      </w:r>
      <w:r w:rsidR="00C7691F">
        <w:rPr>
          <w:rFonts w:ascii="Arial" w:hAnsi="Arial" w:cs="Arial"/>
          <w:sz w:val="24"/>
          <w:szCs w:val="24"/>
        </w:rPr>
        <w:t xml:space="preserve"> choosing STEM or Construction related undergraduate subjects </w:t>
      </w:r>
      <w:r w:rsidR="00CD359C">
        <w:rPr>
          <w:rFonts w:ascii="Arial" w:hAnsi="Arial" w:cs="Arial"/>
          <w:sz w:val="24"/>
          <w:szCs w:val="24"/>
        </w:rPr>
        <w:t xml:space="preserve">throughout the City Deal programme period. </w:t>
      </w:r>
      <w:r w:rsidR="007C62AE">
        <w:rPr>
          <w:rFonts w:ascii="Arial" w:hAnsi="Arial" w:cs="Arial"/>
          <w:sz w:val="24"/>
          <w:szCs w:val="24"/>
        </w:rPr>
        <w:t xml:space="preserve">The numbers have grown by 263% since the baseline period. </w:t>
      </w:r>
      <w:r w:rsidR="007C43F5">
        <w:rPr>
          <w:rFonts w:ascii="Arial" w:hAnsi="Arial" w:cs="Arial"/>
          <w:sz w:val="24"/>
          <w:szCs w:val="24"/>
        </w:rPr>
        <w:t xml:space="preserve">Year on year the figures have marginally </w:t>
      </w:r>
      <w:r w:rsidR="00062668">
        <w:rPr>
          <w:rFonts w:ascii="Arial" w:hAnsi="Arial" w:cs="Arial"/>
          <w:sz w:val="24"/>
          <w:szCs w:val="24"/>
        </w:rPr>
        <w:t>de</w:t>
      </w:r>
      <w:r w:rsidR="007C43F5">
        <w:rPr>
          <w:rFonts w:ascii="Arial" w:hAnsi="Arial" w:cs="Arial"/>
          <w:sz w:val="24"/>
          <w:szCs w:val="24"/>
        </w:rPr>
        <w:t xml:space="preserve">creased from </w:t>
      </w:r>
      <w:r w:rsidR="00062668">
        <w:rPr>
          <w:rFonts w:ascii="Arial" w:hAnsi="Arial" w:cs="Arial"/>
          <w:sz w:val="24"/>
          <w:szCs w:val="24"/>
        </w:rPr>
        <w:t>4,95</w:t>
      </w:r>
      <w:r w:rsidR="007C43F5">
        <w:rPr>
          <w:rFonts w:ascii="Arial" w:hAnsi="Arial" w:cs="Arial"/>
          <w:sz w:val="24"/>
          <w:szCs w:val="24"/>
        </w:rPr>
        <w:t>5 in 2</w:t>
      </w:r>
      <w:r w:rsidR="00062668">
        <w:rPr>
          <w:rFonts w:ascii="Arial" w:hAnsi="Arial" w:cs="Arial"/>
          <w:sz w:val="24"/>
          <w:szCs w:val="24"/>
        </w:rPr>
        <w:t xml:space="preserve">0/21 </w:t>
      </w:r>
      <w:r w:rsidR="007C43F5">
        <w:rPr>
          <w:rFonts w:ascii="Arial" w:hAnsi="Arial" w:cs="Arial"/>
          <w:sz w:val="24"/>
          <w:szCs w:val="24"/>
        </w:rPr>
        <w:t xml:space="preserve">to </w:t>
      </w:r>
      <w:r w:rsidR="00062668">
        <w:rPr>
          <w:rFonts w:ascii="Arial" w:hAnsi="Arial" w:cs="Arial"/>
          <w:sz w:val="24"/>
          <w:szCs w:val="24"/>
        </w:rPr>
        <w:t xml:space="preserve">4,935 </w:t>
      </w:r>
      <w:r w:rsidR="007C43F5">
        <w:rPr>
          <w:rFonts w:ascii="Arial" w:hAnsi="Arial" w:cs="Arial"/>
          <w:sz w:val="24"/>
          <w:szCs w:val="24"/>
        </w:rPr>
        <w:t>in 22/23</w:t>
      </w:r>
      <w:r w:rsidR="00062668">
        <w:rPr>
          <w:rFonts w:ascii="Arial" w:hAnsi="Arial" w:cs="Arial"/>
          <w:sz w:val="24"/>
          <w:szCs w:val="24"/>
        </w:rPr>
        <w:t>.</w:t>
      </w:r>
    </w:p>
    <w:p w14:paraId="26A1B754" w14:textId="77777777" w:rsidR="00041957" w:rsidRDefault="00041957" w:rsidP="00041957">
      <w:pPr>
        <w:pStyle w:val="ListParagraph"/>
        <w:spacing w:after="160" w:line="256" w:lineRule="auto"/>
        <w:ind w:left="360"/>
        <w:jc w:val="both"/>
        <w:rPr>
          <w:rFonts w:ascii="Arial" w:hAnsi="Arial" w:cs="Arial"/>
          <w:sz w:val="24"/>
          <w:szCs w:val="24"/>
        </w:rPr>
      </w:pPr>
    </w:p>
    <w:p w14:paraId="2992A151" w14:textId="646C16AF" w:rsidR="00C7691F" w:rsidRPr="009B108D" w:rsidRDefault="009F64D8" w:rsidP="00C7691F">
      <w:pPr>
        <w:pStyle w:val="ListParagraph"/>
        <w:numPr>
          <w:ilvl w:val="0"/>
          <w:numId w:val="6"/>
        </w:numPr>
        <w:spacing w:after="160" w:line="256" w:lineRule="auto"/>
        <w:jc w:val="both"/>
        <w:rPr>
          <w:rFonts w:ascii="Arial" w:hAnsi="Arial" w:cs="Arial"/>
          <w:sz w:val="24"/>
          <w:szCs w:val="24"/>
        </w:rPr>
      </w:pPr>
      <w:r w:rsidRPr="009B108D">
        <w:rPr>
          <w:rFonts w:ascii="Arial" w:hAnsi="Arial" w:cs="Arial"/>
          <w:sz w:val="24"/>
          <w:szCs w:val="24"/>
        </w:rPr>
        <w:t>Th</w:t>
      </w:r>
      <w:r w:rsidR="00062668">
        <w:rPr>
          <w:rFonts w:ascii="Arial" w:hAnsi="Arial" w:cs="Arial"/>
          <w:sz w:val="24"/>
          <w:szCs w:val="24"/>
        </w:rPr>
        <w:t>e overall increase</w:t>
      </w:r>
      <w:r w:rsidR="00E252C1">
        <w:rPr>
          <w:rFonts w:ascii="Arial" w:hAnsi="Arial" w:cs="Arial"/>
          <w:sz w:val="24"/>
          <w:szCs w:val="24"/>
        </w:rPr>
        <w:t xml:space="preserve"> over </w:t>
      </w:r>
      <w:proofErr w:type="gramStart"/>
      <w:r w:rsidR="00E252C1">
        <w:rPr>
          <w:rFonts w:ascii="Arial" w:hAnsi="Arial" w:cs="Arial"/>
          <w:sz w:val="24"/>
          <w:szCs w:val="24"/>
        </w:rPr>
        <w:t>a number of</w:t>
      </w:r>
      <w:proofErr w:type="gramEnd"/>
      <w:r w:rsidR="00E252C1">
        <w:rPr>
          <w:rFonts w:ascii="Arial" w:hAnsi="Arial" w:cs="Arial"/>
          <w:sz w:val="24"/>
          <w:szCs w:val="24"/>
        </w:rPr>
        <w:t xml:space="preserve"> years </w:t>
      </w:r>
      <w:r w:rsidR="00BA2FA6" w:rsidRPr="009B108D">
        <w:rPr>
          <w:rFonts w:ascii="Arial" w:hAnsi="Arial" w:cs="Arial"/>
          <w:sz w:val="24"/>
          <w:szCs w:val="24"/>
        </w:rPr>
        <w:t xml:space="preserve">reflects the </w:t>
      </w:r>
      <w:r w:rsidR="00500B12" w:rsidRPr="009B108D">
        <w:rPr>
          <w:rFonts w:ascii="Arial" w:hAnsi="Arial" w:cs="Arial"/>
          <w:sz w:val="24"/>
          <w:szCs w:val="24"/>
        </w:rPr>
        <w:t xml:space="preserve">capital </w:t>
      </w:r>
      <w:r w:rsidR="00BA2FA6" w:rsidRPr="009B108D">
        <w:rPr>
          <w:rFonts w:ascii="Arial" w:hAnsi="Arial" w:cs="Arial"/>
          <w:sz w:val="24"/>
          <w:szCs w:val="24"/>
        </w:rPr>
        <w:t xml:space="preserve">investment </w:t>
      </w:r>
      <w:r w:rsidR="00500B12" w:rsidRPr="009B108D">
        <w:rPr>
          <w:rFonts w:ascii="Arial" w:hAnsi="Arial" w:cs="Arial"/>
          <w:sz w:val="24"/>
          <w:szCs w:val="24"/>
        </w:rPr>
        <w:t xml:space="preserve">made in the </w:t>
      </w:r>
      <w:r w:rsidR="00BA2FA6" w:rsidRPr="009B108D">
        <w:rPr>
          <w:rFonts w:ascii="Arial" w:hAnsi="Arial" w:cs="Arial"/>
          <w:sz w:val="24"/>
          <w:szCs w:val="24"/>
        </w:rPr>
        <w:t>Preston campus as an international centre of advanced engineering</w:t>
      </w:r>
      <w:r w:rsidR="009B108D">
        <w:rPr>
          <w:rFonts w:ascii="Arial" w:hAnsi="Arial" w:cs="Arial"/>
          <w:sz w:val="24"/>
          <w:szCs w:val="24"/>
        </w:rPr>
        <w:t xml:space="preserve"> as well as a stated aim to</w:t>
      </w:r>
      <w:r w:rsidR="00E6671F">
        <w:rPr>
          <w:rFonts w:ascii="Arial" w:hAnsi="Arial" w:cs="Arial"/>
          <w:sz w:val="24"/>
          <w:szCs w:val="24"/>
        </w:rPr>
        <w:t xml:space="preserve"> g</w:t>
      </w:r>
      <w:r w:rsidR="00C970F5">
        <w:rPr>
          <w:rFonts w:ascii="Arial" w:hAnsi="Arial" w:cs="Arial"/>
          <w:sz w:val="24"/>
          <w:szCs w:val="24"/>
        </w:rPr>
        <w:t xml:space="preserve">row STEM </w:t>
      </w:r>
      <w:r w:rsidR="0088115F">
        <w:rPr>
          <w:rFonts w:ascii="Arial" w:hAnsi="Arial" w:cs="Arial"/>
          <w:sz w:val="24"/>
          <w:szCs w:val="24"/>
        </w:rPr>
        <w:t xml:space="preserve">students </w:t>
      </w:r>
      <w:r w:rsidR="00C970F5">
        <w:rPr>
          <w:rFonts w:ascii="Arial" w:hAnsi="Arial" w:cs="Arial"/>
          <w:sz w:val="24"/>
          <w:szCs w:val="24"/>
        </w:rPr>
        <w:t xml:space="preserve">through </w:t>
      </w:r>
      <w:r w:rsidR="00BA2FA6" w:rsidRPr="009B108D">
        <w:rPr>
          <w:rFonts w:ascii="Arial" w:hAnsi="Arial" w:cs="Arial"/>
          <w:sz w:val="24"/>
          <w:szCs w:val="24"/>
        </w:rPr>
        <w:t>its strong research base</w:t>
      </w:r>
      <w:r w:rsidR="009B108D" w:rsidRPr="009B108D">
        <w:rPr>
          <w:rFonts w:ascii="Arial" w:hAnsi="Arial" w:cs="Arial"/>
          <w:sz w:val="24"/>
          <w:szCs w:val="24"/>
        </w:rPr>
        <w:t xml:space="preserve"> </w:t>
      </w:r>
      <w:r w:rsidR="00BA2FA6" w:rsidRPr="009B108D">
        <w:rPr>
          <w:rFonts w:ascii="Arial" w:hAnsi="Arial" w:cs="Arial"/>
          <w:sz w:val="24"/>
          <w:szCs w:val="24"/>
        </w:rPr>
        <w:t xml:space="preserve">and </w:t>
      </w:r>
      <w:r w:rsidR="00BA2FA6" w:rsidRPr="009B108D">
        <w:rPr>
          <w:rFonts w:ascii="Arial" w:hAnsi="Arial" w:cs="Arial"/>
          <w:sz w:val="24"/>
          <w:szCs w:val="24"/>
        </w:rPr>
        <w:lastRenderedPageBreak/>
        <w:t xml:space="preserve">industrial partnerships. </w:t>
      </w:r>
      <w:r w:rsidR="00C970F5">
        <w:rPr>
          <w:rFonts w:ascii="Arial" w:hAnsi="Arial" w:cs="Arial"/>
          <w:sz w:val="24"/>
          <w:szCs w:val="24"/>
        </w:rPr>
        <w:t>Th</w:t>
      </w:r>
      <w:r w:rsidR="00AA6679">
        <w:rPr>
          <w:rFonts w:ascii="Arial" w:hAnsi="Arial" w:cs="Arial"/>
          <w:sz w:val="24"/>
          <w:szCs w:val="24"/>
        </w:rPr>
        <w:t xml:space="preserve">e data </w:t>
      </w:r>
      <w:r w:rsidR="00C970F5">
        <w:rPr>
          <w:rFonts w:ascii="Arial" w:hAnsi="Arial" w:cs="Arial"/>
          <w:sz w:val="24"/>
          <w:szCs w:val="24"/>
        </w:rPr>
        <w:t xml:space="preserve">underlines a successful growth in numbers of STEM </w:t>
      </w:r>
      <w:r w:rsidR="00C941BD">
        <w:rPr>
          <w:rFonts w:ascii="Arial" w:hAnsi="Arial" w:cs="Arial"/>
          <w:sz w:val="24"/>
          <w:szCs w:val="24"/>
        </w:rPr>
        <w:t>and Construction Undergraduates during the City Deal Programme</w:t>
      </w:r>
      <w:r w:rsidR="00041957">
        <w:rPr>
          <w:rFonts w:ascii="Arial" w:hAnsi="Arial" w:cs="Arial"/>
          <w:sz w:val="24"/>
          <w:szCs w:val="24"/>
        </w:rPr>
        <w:t xml:space="preserve"> period</w:t>
      </w:r>
      <w:r w:rsidR="00C941BD">
        <w:rPr>
          <w:rFonts w:ascii="Arial" w:hAnsi="Arial" w:cs="Arial"/>
          <w:sz w:val="24"/>
          <w:szCs w:val="24"/>
        </w:rPr>
        <w:t xml:space="preserve">. </w:t>
      </w:r>
    </w:p>
    <w:p w14:paraId="28DC60BC" w14:textId="77777777" w:rsidR="00C7691F" w:rsidRDefault="00C7691F" w:rsidP="00C7691F">
      <w:pPr>
        <w:pStyle w:val="ListParagraph"/>
        <w:spacing w:after="160" w:line="256" w:lineRule="auto"/>
        <w:ind w:left="360"/>
        <w:jc w:val="both"/>
        <w:rPr>
          <w:rFonts w:ascii="Arial" w:hAnsi="Arial" w:cs="Arial"/>
          <w:sz w:val="24"/>
          <w:szCs w:val="24"/>
        </w:rPr>
      </w:pPr>
    </w:p>
    <w:p w14:paraId="34B75AE6" w14:textId="729D8725" w:rsidR="00FD6F4E" w:rsidRDefault="00C970F5" w:rsidP="00FD6F4E">
      <w:pPr>
        <w:spacing w:after="160" w:line="256" w:lineRule="auto"/>
        <w:rPr>
          <w:rFonts w:ascii="Arial" w:hAnsi="Arial" w:cs="Arial"/>
          <w:i/>
          <w:iCs/>
          <w:sz w:val="24"/>
          <w:szCs w:val="24"/>
        </w:rPr>
      </w:pPr>
      <w:r>
        <w:rPr>
          <w:rFonts w:ascii="Arial" w:hAnsi="Arial" w:cs="Arial"/>
          <w:i/>
          <w:iCs/>
          <w:sz w:val="24"/>
          <w:szCs w:val="24"/>
        </w:rPr>
        <w:t>1.1.2</w:t>
      </w:r>
      <w:r>
        <w:rPr>
          <w:rFonts w:ascii="Arial" w:hAnsi="Arial" w:cs="Arial"/>
          <w:i/>
          <w:iCs/>
          <w:sz w:val="24"/>
          <w:szCs w:val="24"/>
        </w:rPr>
        <w:tab/>
      </w:r>
      <w:r w:rsidR="00FD6F4E" w:rsidRPr="002C623C">
        <w:rPr>
          <w:rFonts w:ascii="Arial" w:hAnsi="Arial" w:cs="Arial"/>
          <w:i/>
          <w:iCs/>
          <w:sz w:val="24"/>
          <w:szCs w:val="24"/>
        </w:rPr>
        <w:t>Job Seekers Allowance (JSA) and Universal Credit (UC) claimants</w:t>
      </w:r>
    </w:p>
    <w:tbl>
      <w:tblPr>
        <w:tblW w:w="5736" w:type="pct"/>
        <w:tblLayout w:type="fixed"/>
        <w:tblLook w:val="04A0" w:firstRow="1" w:lastRow="0" w:firstColumn="1" w:lastColumn="0" w:noHBand="0" w:noVBand="1"/>
      </w:tblPr>
      <w:tblGrid>
        <w:gridCol w:w="2120"/>
        <w:gridCol w:w="989"/>
        <w:gridCol w:w="710"/>
        <w:gridCol w:w="709"/>
        <w:gridCol w:w="709"/>
        <w:gridCol w:w="709"/>
        <w:gridCol w:w="709"/>
        <w:gridCol w:w="707"/>
        <w:gridCol w:w="709"/>
        <w:gridCol w:w="709"/>
        <w:gridCol w:w="709"/>
        <w:gridCol w:w="848"/>
      </w:tblGrid>
      <w:tr w:rsidR="00CC5FFB" w14:paraId="689D7432" w14:textId="6787FEEB" w:rsidTr="00B67F61">
        <w:trPr>
          <w:trHeight w:val="300"/>
        </w:trPr>
        <w:tc>
          <w:tcPr>
            <w:tcW w:w="1025" w:type="pct"/>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7926F408"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478" w:type="pct"/>
            <w:tcBorders>
              <w:top w:val="single" w:sz="8" w:space="0" w:color="auto"/>
              <w:left w:val="nil"/>
              <w:bottom w:val="nil"/>
              <w:right w:val="single" w:sz="4" w:space="0" w:color="auto"/>
            </w:tcBorders>
            <w:shd w:val="clear" w:color="auto" w:fill="F2F2F2" w:themeFill="background1" w:themeFillShade="F2"/>
            <w:vAlign w:val="center"/>
            <w:hideMark/>
          </w:tcPr>
          <w:p w14:paraId="666CC5DF"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FFCA9"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BCDAE1"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Yr.2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5AA66"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Yr.3 </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0701E5"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Yr.4</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E064F6"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Yr.5*</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E291A"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Yr.6</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BAE53"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Yr.7</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B84DD"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Yr.8</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4DC8B" w14:textId="77777777"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Yr.9</w:t>
            </w:r>
          </w:p>
        </w:tc>
        <w:tc>
          <w:tcPr>
            <w:tcW w:w="41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74B6FDC" w14:textId="671CA67B" w:rsidR="00A91A88" w:rsidRDefault="00A91A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Yr.10</w:t>
            </w:r>
          </w:p>
        </w:tc>
      </w:tr>
      <w:tr w:rsidR="00CC5FFB" w14:paraId="27D119CD" w14:textId="5D5D325D" w:rsidTr="00B67F61">
        <w:trPr>
          <w:trHeight w:val="351"/>
        </w:trPr>
        <w:tc>
          <w:tcPr>
            <w:tcW w:w="1025" w:type="pct"/>
            <w:tcBorders>
              <w:top w:val="nil"/>
              <w:left w:val="single" w:sz="8" w:space="0" w:color="auto"/>
              <w:bottom w:val="nil"/>
              <w:right w:val="single" w:sz="8" w:space="0" w:color="auto"/>
            </w:tcBorders>
            <w:shd w:val="clear" w:color="auto" w:fill="F2F2F2" w:themeFill="background1" w:themeFillShade="F2"/>
            <w:vAlign w:val="center"/>
            <w:hideMark/>
          </w:tcPr>
          <w:p w14:paraId="7B7F88BD"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8" w:type="pct"/>
            <w:vMerge w:val="restart"/>
            <w:tcBorders>
              <w:top w:val="nil"/>
              <w:left w:val="single" w:sz="8" w:space="0" w:color="auto"/>
              <w:bottom w:val="single" w:sz="8" w:space="0" w:color="000000" w:themeColor="text1"/>
              <w:right w:val="single" w:sz="4" w:space="0" w:color="auto"/>
            </w:tcBorders>
            <w:shd w:val="clear" w:color="auto" w:fill="F2F2F2" w:themeFill="background1" w:themeFillShade="F2"/>
            <w:vAlign w:val="center"/>
            <w:hideMark/>
          </w:tcPr>
          <w:p w14:paraId="66ADAE0C" w14:textId="77777777" w:rsidR="00A91A88" w:rsidRDefault="00A91A88"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2FFAF813"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A0BB217"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3DBBF73E"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6F08EC06"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4538E9A" w14:textId="77777777" w:rsidR="00A91A88" w:rsidRDefault="00A91A88" w:rsidP="00CC5FFB">
            <w:pPr>
              <w:spacing w:after="0"/>
              <w:rPr>
                <w:rFonts w:ascii="Arial" w:eastAsia="Times New Roman" w:hAnsi="Arial" w:cs="Arial"/>
                <w:b/>
                <w:bCs/>
                <w:color w:val="000000"/>
                <w:sz w:val="16"/>
                <w:szCs w:val="16"/>
                <w:lang w:eastAsia="en-GB"/>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54927D7D"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12E5128F"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tcPr>
          <w:p w14:paraId="7905ABDF" w14:textId="77777777" w:rsidR="00A91A88" w:rsidRDefault="00A91A88" w:rsidP="00CC5FFB">
            <w:pPr>
              <w:spacing w:after="0"/>
              <w:rPr>
                <w:rFonts w:ascii="Arial" w:eastAsia="Times New Roman" w:hAnsi="Arial" w:cs="Arial"/>
                <w:b/>
                <w:bCs/>
                <w:color w:val="000000"/>
                <w:sz w:val="16"/>
                <w:szCs w:val="16"/>
                <w:lang w:eastAsia="en-GB"/>
              </w:rPr>
            </w:pPr>
          </w:p>
        </w:tc>
        <w:tc>
          <w:tcPr>
            <w:tcW w:w="343" w:type="pct"/>
            <w:vMerge/>
            <w:tcBorders>
              <w:top w:val="single" w:sz="4" w:space="0" w:color="auto"/>
              <w:left w:val="single" w:sz="4" w:space="0" w:color="auto"/>
              <w:bottom w:val="single" w:sz="4" w:space="0" w:color="auto"/>
              <w:right w:val="single" w:sz="4" w:space="0" w:color="auto"/>
            </w:tcBorders>
            <w:vAlign w:val="center"/>
          </w:tcPr>
          <w:p w14:paraId="699F857E" w14:textId="77777777" w:rsidR="00A91A88" w:rsidRDefault="00A91A88" w:rsidP="00CC5FFB">
            <w:pPr>
              <w:spacing w:after="0"/>
              <w:rPr>
                <w:rFonts w:ascii="Arial" w:eastAsia="Times New Roman" w:hAnsi="Arial" w:cs="Arial"/>
                <w:b/>
                <w:bCs/>
                <w:color w:val="000000"/>
                <w:sz w:val="16"/>
                <w:szCs w:val="16"/>
                <w:lang w:eastAsia="en-GB"/>
              </w:rPr>
            </w:pPr>
          </w:p>
        </w:tc>
        <w:tc>
          <w:tcPr>
            <w:tcW w:w="410" w:type="pct"/>
            <w:vMerge/>
            <w:tcBorders>
              <w:left w:val="single" w:sz="4" w:space="0" w:color="auto"/>
              <w:bottom w:val="single" w:sz="4" w:space="0" w:color="auto"/>
              <w:right w:val="single" w:sz="4" w:space="0" w:color="auto"/>
            </w:tcBorders>
            <w:vAlign w:val="center"/>
          </w:tcPr>
          <w:p w14:paraId="5B62042F" w14:textId="77777777" w:rsidR="00A91A88" w:rsidRDefault="00A91A88" w:rsidP="00CC5FFB">
            <w:pPr>
              <w:spacing w:after="0"/>
              <w:rPr>
                <w:rFonts w:ascii="Arial" w:eastAsia="Times New Roman" w:hAnsi="Arial" w:cs="Arial"/>
                <w:b/>
                <w:bCs/>
                <w:color w:val="000000"/>
                <w:sz w:val="16"/>
                <w:szCs w:val="16"/>
                <w:lang w:eastAsia="en-GB"/>
              </w:rPr>
            </w:pPr>
          </w:p>
        </w:tc>
      </w:tr>
      <w:tr w:rsidR="00CC5FFB" w:rsidRPr="0005260B" w14:paraId="45E82FFE" w14:textId="4B2D3A89" w:rsidTr="00B67F61">
        <w:trPr>
          <w:trHeight w:val="315"/>
        </w:trPr>
        <w:tc>
          <w:tcPr>
            <w:tcW w:w="1025" w:type="pct"/>
            <w:tcBorders>
              <w:top w:val="nil"/>
              <w:left w:val="single" w:sz="8" w:space="0" w:color="auto"/>
              <w:bottom w:val="nil"/>
              <w:right w:val="single" w:sz="8" w:space="0" w:color="auto"/>
            </w:tcBorders>
            <w:shd w:val="clear" w:color="auto" w:fill="F2F2F2" w:themeFill="background1" w:themeFillShade="F2"/>
            <w:vAlign w:val="center"/>
            <w:hideMark/>
          </w:tcPr>
          <w:p w14:paraId="1BD79DF3" w14:textId="77777777" w:rsidR="00F23C88" w:rsidRDefault="00F23C88" w:rsidP="00F23C88">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78" w:type="pct"/>
            <w:vMerge/>
            <w:tcBorders>
              <w:right w:val="single" w:sz="4" w:space="0" w:color="auto"/>
            </w:tcBorders>
            <w:vAlign w:val="center"/>
            <w:hideMark/>
          </w:tcPr>
          <w:p w14:paraId="39D329E7" w14:textId="77777777" w:rsidR="00F23C88" w:rsidRDefault="00F23C88" w:rsidP="00F23C88">
            <w:pPr>
              <w:spacing w:after="0"/>
              <w:rPr>
                <w:rFonts w:ascii="Arial" w:eastAsia="Times New Roman" w:hAnsi="Arial" w:cs="Arial"/>
                <w:b/>
                <w:bCs/>
                <w:color w:val="000000"/>
                <w:sz w:val="16"/>
                <w:szCs w:val="16"/>
                <w:lang w:eastAsia="en-GB"/>
              </w:rPr>
            </w:pP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FB465A"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13/14</w:t>
            </w:r>
          </w:p>
        </w:tc>
        <w:tc>
          <w:tcPr>
            <w:tcW w:w="343" w:type="pct"/>
            <w:tcBorders>
              <w:top w:val="single" w:sz="4" w:space="0" w:color="auto"/>
              <w:left w:val="single" w:sz="4" w:space="0" w:color="auto"/>
              <w:bottom w:val="single" w:sz="8" w:space="0" w:color="auto"/>
              <w:right w:val="nil"/>
            </w:tcBorders>
            <w:shd w:val="clear" w:color="auto" w:fill="F2F2F2" w:themeFill="background1" w:themeFillShade="F2"/>
            <w:vAlign w:val="center"/>
            <w:hideMark/>
          </w:tcPr>
          <w:p w14:paraId="66C6D6D1"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14/15</w:t>
            </w:r>
          </w:p>
        </w:tc>
        <w:tc>
          <w:tcPr>
            <w:tcW w:w="343"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752BEDF5"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15/16</w:t>
            </w:r>
          </w:p>
        </w:tc>
        <w:tc>
          <w:tcPr>
            <w:tcW w:w="343"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3154CEA2"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16/17</w:t>
            </w:r>
          </w:p>
        </w:tc>
        <w:tc>
          <w:tcPr>
            <w:tcW w:w="343"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1D87F5CB"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17/18</w:t>
            </w:r>
          </w:p>
        </w:tc>
        <w:tc>
          <w:tcPr>
            <w:tcW w:w="342"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3ED3787"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18/19</w:t>
            </w:r>
          </w:p>
        </w:tc>
        <w:tc>
          <w:tcPr>
            <w:tcW w:w="343"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E77F429"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19/20</w:t>
            </w:r>
          </w:p>
        </w:tc>
        <w:tc>
          <w:tcPr>
            <w:tcW w:w="343"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1ADE92A0"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20/21</w:t>
            </w:r>
          </w:p>
        </w:tc>
        <w:tc>
          <w:tcPr>
            <w:tcW w:w="343"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7ABD3C6"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21/22</w:t>
            </w:r>
          </w:p>
        </w:tc>
        <w:tc>
          <w:tcPr>
            <w:tcW w:w="410"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212B80F3" w14:textId="40FB364F"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22/2</w:t>
            </w:r>
            <w:r w:rsidR="004D4117">
              <w:rPr>
                <w:rFonts w:ascii="Arial" w:eastAsia="Times New Roman" w:hAnsi="Arial" w:cs="Arial"/>
                <w:b/>
                <w:bCs/>
                <w:color w:val="000000"/>
                <w:sz w:val="16"/>
                <w:szCs w:val="16"/>
                <w:lang w:eastAsia="en-GB"/>
              </w:rPr>
              <w:t>3</w:t>
            </w:r>
          </w:p>
        </w:tc>
      </w:tr>
      <w:tr w:rsidR="00CC5FFB" w14:paraId="29AED030" w14:textId="52FC21BD" w:rsidTr="00B67F61">
        <w:trPr>
          <w:trHeight w:val="315"/>
        </w:trPr>
        <w:tc>
          <w:tcPr>
            <w:tcW w:w="1025"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785EDAD" w14:textId="77777777" w:rsidR="00F23C88" w:rsidRDefault="00F23C88" w:rsidP="00F23C88">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roofErr w:type="gramStart"/>
            <w:r>
              <w:rPr>
                <w:rFonts w:ascii="Arial" w:eastAsia="Times New Roman" w:hAnsi="Arial" w:cs="Arial"/>
                <w:color w:val="000000"/>
                <w:sz w:val="16"/>
                <w:szCs w:val="16"/>
                <w:lang w:eastAsia="en-GB"/>
              </w:rPr>
              <w:t>refers</w:t>
            </w:r>
            <w:proofErr w:type="gramEnd"/>
            <w:r>
              <w:rPr>
                <w:rFonts w:ascii="Arial" w:eastAsia="Times New Roman" w:hAnsi="Arial" w:cs="Arial"/>
                <w:color w:val="000000"/>
                <w:sz w:val="16"/>
                <w:szCs w:val="16"/>
                <w:lang w:eastAsia="en-GB"/>
              </w:rPr>
              <w:t xml:space="preserve"> to academic year</w:t>
            </w:r>
          </w:p>
        </w:tc>
        <w:tc>
          <w:tcPr>
            <w:tcW w:w="478" w:type="pct"/>
            <w:vMerge/>
            <w:tcBorders>
              <w:bottom w:val="single" w:sz="4" w:space="0" w:color="auto"/>
              <w:right w:val="single" w:sz="4" w:space="0" w:color="auto"/>
            </w:tcBorders>
            <w:vAlign w:val="center"/>
            <w:hideMark/>
          </w:tcPr>
          <w:p w14:paraId="67FBEDD9" w14:textId="77777777" w:rsidR="00F23C88" w:rsidRDefault="00F23C88" w:rsidP="00F23C88">
            <w:pPr>
              <w:spacing w:after="0"/>
              <w:rPr>
                <w:rFonts w:ascii="Arial" w:eastAsia="Times New Roman" w:hAnsi="Arial" w:cs="Arial"/>
                <w:b/>
                <w:bCs/>
                <w:color w:val="000000"/>
                <w:sz w:val="16"/>
                <w:szCs w:val="16"/>
                <w:lang w:eastAsia="en-GB"/>
              </w:rPr>
            </w:pPr>
          </w:p>
        </w:tc>
        <w:tc>
          <w:tcPr>
            <w:tcW w:w="3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07C2B"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single" w:sz="4" w:space="0" w:color="auto"/>
              <w:bottom w:val="nil"/>
              <w:right w:val="single" w:sz="8" w:space="0" w:color="auto"/>
            </w:tcBorders>
            <w:shd w:val="clear" w:color="auto" w:fill="F2F2F2" w:themeFill="background1" w:themeFillShade="F2"/>
            <w:vAlign w:val="center"/>
            <w:hideMark/>
          </w:tcPr>
          <w:p w14:paraId="2D084B66"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hideMark/>
          </w:tcPr>
          <w:p w14:paraId="3241505D"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hideMark/>
          </w:tcPr>
          <w:p w14:paraId="0EB4BE21"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hideMark/>
          </w:tcPr>
          <w:p w14:paraId="46EEB042"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2" w:type="pct"/>
            <w:tcBorders>
              <w:top w:val="nil"/>
              <w:left w:val="nil"/>
              <w:bottom w:val="nil"/>
              <w:right w:val="single" w:sz="8" w:space="0" w:color="auto"/>
            </w:tcBorders>
            <w:shd w:val="clear" w:color="auto" w:fill="F2F2F2" w:themeFill="background1" w:themeFillShade="F2"/>
            <w:vAlign w:val="center"/>
            <w:hideMark/>
          </w:tcPr>
          <w:p w14:paraId="4DECBDA0"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hideMark/>
          </w:tcPr>
          <w:p w14:paraId="0E338150"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tcPr>
          <w:p w14:paraId="68F499E6"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3" w:type="pct"/>
            <w:tcBorders>
              <w:top w:val="nil"/>
              <w:left w:val="nil"/>
              <w:bottom w:val="nil"/>
              <w:right w:val="single" w:sz="8" w:space="0" w:color="auto"/>
            </w:tcBorders>
            <w:shd w:val="clear" w:color="auto" w:fill="F2F2F2" w:themeFill="background1" w:themeFillShade="F2"/>
            <w:vAlign w:val="center"/>
          </w:tcPr>
          <w:p w14:paraId="0AC10378" w14:textId="77777777"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410" w:type="pct"/>
            <w:tcBorders>
              <w:top w:val="nil"/>
              <w:left w:val="nil"/>
              <w:bottom w:val="nil"/>
              <w:right w:val="single" w:sz="8" w:space="0" w:color="auto"/>
            </w:tcBorders>
            <w:shd w:val="clear" w:color="auto" w:fill="F2F2F2" w:themeFill="background1" w:themeFillShade="F2"/>
            <w:vAlign w:val="center"/>
          </w:tcPr>
          <w:p w14:paraId="2DA734E4" w14:textId="138BF336" w:rsidR="00F23C88" w:rsidRDefault="00F23C88" w:rsidP="00CC5FFB">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r>
      <w:tr w:rsidR="00CC5FFB" w14:paraId="59E8BB3C" w14:textId="7CACA9EB" w:rsidTr="00B67F61">
        <w:trPr>
          <w:trHeight w:val="675"/>
        </w:trPr>
        <w:tc>
          <w:tcPr>
            <w:tcW w:w="1025" w:type="pct"/>
            <w:tcBorders>
              <w:top w:val="single" w:sz="8" w:space="0" w:color="auto"/>
              <w:left w:val="single" w:sz="8" w:space="0" w:color="auto"/>
              <w:bottom w:val="nil"/>
              <w:right w:val="single" w:sz="8" w:space="0" w:color="auto"/>
            </w:tcBorders>
            <w:vAlign w:val="center"/>
            <w:hideMark/>
          </w:tcPr>
          <w:p w14:paraId="327580C1"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Job Seekers Allowance (JSA) and Universal Credit (UC) claimants </w:t>
            </w:r>
          </w:p>
        </w:tc>
        <w:tc>
          <w:tcPr>
            <w:tcW w:w="478" w:type="pct"/>
            <w:tcBorders>
              <w:top w:val="single" w:sz="8" w:space="0" w:color="auto"/>
              <w:left w:val="nil"/>
              <w:bottom w:val="nil"/>
              <w:right w:val="single" w:sz="8" w:space="0" w:color="auto"/>
            </w:tcBorders>
            <w:vAlign w:val="center"/>
            <w:hideMark/>
          </w:tcPr>
          <w:p w14:paraId="60D9323F"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Apr-13</w:t>
            </w:r>
          </w:p>
        </w:tc>
        <w:tc>
          <w:tcPr>
            <w:tcW w:w="343" w:type="pct"/>
            <w:tcBorders>
              <w:top w:val="single" w:sz="8" w:space="0" w:color="auto"/>
              <w:left w:val="nil"/>
              <w:bottom w:val="nil"/>
              <w:right w:val="single" w:sz="8" w:space="0" w:color="auto"/>
            </w:tcBorders>
            <w:vAlign w:val="center"/>
            <w:hideMark/>
          </w:tcPr>
          <w:p w14:paraId="07697554"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Apr-14</w:t>
            </w:r>
          </w:p>
        </w:tc>
        <w:tc>
          <w:tcPr>
            <w:tcW w:w="343" w:type="pct"/>
            <w:tcBorders>
              <w:top w:val="single" w:sz="8" w:space="0" w:color="auto"/>
              <w:left w:val="nil"/>
              <w:bottom w:val="nil"/>
              <w:right w:val="single" w:sz="8" w:space="0" w:color="auto"/>
            </w:tcBorders>
            <w:vAlign w:val="center"/>
            <w:hideMark/>
          </w:tcPr>
          <w:p w14:paraId="73C6D434"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Apr-15</w:t>
            </w:r>
          </w:p>
        </w:tc>
        <w:tc>
          <w:tcPr>
            <w:tcW w:w="343" w:type="pct"/>
            <w:tcBorders>
              <w:top w:val="single" w:sz="8" w:space="0" w:color="auto"/>
              <w:left w:val="nil"/>
              <w:bottom w:val="nil"/>
              <w:right w:val="single" w:sz="8" w:space="0" w:color="auto"/>
            </w:tcBorders>
            <w:vAlign w:val="center"/>
            <w:hideMark/>
          </w:tcPr>
          <w:p w14:paraId="2DC7D40A"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Apr-16</w:t>
            </w:r>
          </w:p>
        </w:tc>
        <w:tc>
          <w:tcPr>
            <w:tcW w:w="343" w:type="pct"/>
            <w:tcBorders>
              <w:top w:val="single" w:sz="8" w:space="0" w:color="auto"/>
              <w:left w:val="nil"/>
              <w:bottom w:val="nil"/>
              <w:right w:val="single" w:sz="8" w:space="0" w:color="auto"/>
            </w:tcBorders>
            <w:vAlign w:val="center"/>
            <w:hideMark/>
          </w:tcPr>
          <w:p w14:paraId="661E54EE"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Apr-17</w:t>
            </w:r>
          </w:p>
        </w:tc>
        <w:tc>
          <w:tcPr>
            <w:tcW w:w="343" w:type="pct"/>
            <w:tcBorders>
              <w:top w:val="single" w:sz="8" w:space="0" w:color="auto"/>
              <w:left w:val="nil"/>
              <w:bottom w:val="nil"/>
              <w:right w:val="single" w:sz="8" w:space="0" w:color="auto"/>
            </w:tcBorders>
            <w:vAlign w:val="center"/>
            <w:hideMark/>
          </w:tcPr>
          <w:p w14:paraId="34AD0B5F"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Apr-18</w:t>
            </w:r>
          </w:p>
        </w:tc>
        <w:tc>
          <w:tcPr>
            <w:tcW w:w="342" w:type="pct"/>
            <w:tcBorders>
              <w:top w:val="single" w:sz="8" w:space="0" w:color="auto"/>
              <w:left w:val="nil"/>
              <w:bottom w:val="nil"/>
              <w:right w:val="single" w:sz="8" w:space="0" w:color="auto"/>
            </w:tcBorders>
            <w:vAlign w:val="center"/>
            <w:hideMark/>
          </w:tcPr>
          <w:p w14:paraId="6D9A1E57" w14:textId="77777777" w:rsidR="00A91A88" w:rsidRDefault="00A91A88" w:rsidP="000D4AFF">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Apr-19</w:t>
            </w:r>
          </w:p>
        </w:tc>
        <w:tc>
          <w:tcPr>
            <w:tcW w:w="343" w:type="pct"/>
            <w:tcBorders>
              <w:top w:val="single" w:sz="8" w:space="0" w:color="auto"/>
              <w:left w:val="nil"/>
              <w:bottom w:val="nil"/>
              <w:right w:val="single" w:sz="8" w:space="0" w:color="auto"/>
            </w:tcBorders>
            <w:vAlign w:val="center"/>
            <w:hideMark/>
          </w:tcPr>
          <w:p w14:paraId="4C8ADFD9"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themeColor="text1"/>
                <w:sz w:val="16"/>
                <w:szCs w:val="16"/>
                <w:lang w:eastAsia="en-GB"/>
              </w:rPr>
              <w:t>Apr-20</w:t>
            </w:r>
          </w:p>
        </w:tc>
        <w:tc>
          <w:tcPr>
            <w:tcW w:w="343" w:type="pct"/>
            <w:tcBorders>
              <w:top w:val="single" w:sz="8" w:space="0" w:color="auto"/>
              <w:left w:val="nil"/>
              <w:bottom w:val="nil"/>
              <w:right w:val="single" w:sz="8" w:space="0" w:color="auto"/>
            </w:tcBorders>
            <w:vAlign w:val="center"/>
          </w:tcPr>
          <w:p w14:paraId="06BA6592" w14:textId="77777777" w:rsidR="00A91A88" w:rsidRDefault="00A91A88" w:rsidP="000D4AFF">
            <w:pPr>
              <w:spacing w:after="0" w:line="240" w:lineRule="auto"/>
              <w:jc w:val="center"/>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Apr-21</w:t>
            </w:r>
          </w:p>
        </w:tc>
        <w:tc>
          <w:tcPr>
            <w:tcW w:w="343" w:type="pct"/>
            <w:tcBorders>
              <w:top w:val="single" w:sz="8" w:space="0" w:color="auto"/>
              <w:left w:val="nil"/>
              <w:bottom w:val="nil"/>
              <w:right w:val="single" w:sz="8" w:space="0" w:color="auto"/>
            </w:tcBorders>
            <w:vAlign w:val="center"/>
          </w:tcPr>
          <w:p w14:paraId="37D74E6F" w14:textId="77777777" w:rsidR="00A91A88" w:rsidRDefault="00A91A88" w:rsidP="000D4AFF">
            <w:pPr>
              <w:spacing w:after="0" w:line="240" w:lineRule="auto"/>
              <w:jc w:val="center"/>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Apr-22</w:t>
            </w:r>
          </w:p>
        </w:tc>
        <w:tc>
          <w:tcPr>
            <w:tcW w:w="410" w:type="pct"/>
            <w:tcBorders>
              <w:top w:val="single" w:sz="8" w:space="0" w:color="auto"/>
              <w:left w:val="nil"/>
              <w:bottom w:val="nil"/>
              <w:right w:val="single" w:sz="8" w:space="0" w:color="auto"/>
            </w:tcBorders>
            <w:vAlign w:val="center"/>
          </w:tcPr>
          <w:p w14:paraId="06FFA748" w14:textId="649C870F" w:rsidR="00A91A88" w:rsidRDefault="004D4117" w:rsidP="004D4117">
            <w:pPr>
              <w:spacing w:after="0" w:line="240" w:lineRule="auto"/>
              <w:jc w:val="center"/>
              <w:rPr>
                <w:rFonts w:ascii="Arial" w:eastAsia="Times New Roman" w:hAnsi="Arial" w:cs="Arial"/>
                <w:color w:val="000000" w:themeColor="text1"/>
                <w:sz w:val="16"/>
                <w:szCs w:val="16"/>
                <w:lang w:eastAsia="en-GB"/>
              </w:rPr>
            </w:pPr>
            <w:r>
              <w:rPr>
                <w:rFonts w:ascii="Arial" w:eastAsia="Times New Roman" w:hAnsi="Arial" w:cs="Arial"/>
                <w:color w:val="000000" w:themeColor="text1"/>
                <w:sz w:val="16"/>
                <w:szCs w:val="16"/>
                <w:lang w:eastAsia="en-GB"/>
              </w:rPr>
              <w:t>Apr-22</w:t>
            </w:r>
          </w:p>
        </w:tc>
      </w:tr>
      <w:tr w:rsidR="00CC5FFB" w14:paraId="6F73EC17" w14:textId="5710D183" w:rsidTr="00B67F61">
        <w:trPr>
          <w:trHeight w:val="300"/>
        </w:trPr>
        <w:tc>
          <w:tcPr>
            <w:tcW w:w="1025" w:type="pct"/>
            <w:tcBorders>
              <w:top w:val="nil"/>
              <w:left w:val="single" w:sz="8" w:space="0" w:color="auto"/>
              <w:bottom w:val="nil"/>
              <w:right w:val="single" w:sz="8" w:space="0" w:color="auto"/>
            </w:tcBorders>
            <w:vAlign w:val="center"/>
            <w:hideMark/>
          </w:tcPr>
          <w:p w14:paraId="5063CE81" w14:textId="77777777" w:rsidR="00A91A88" w:rsidRDefault="00A91A88" w:rsidP="000D4AFF">
            <w:pPr>
              <w:spacing w:after="0" w:line="240" w:lineRule="auto"/>
              <w:rPr>
                <w:rFonts w:ascii="Arial" w:eastAsia="Times New Roman" w:hAnsi="Arial" w:cs="Arial"/>
                <w:i/>
                <w:iCs/>
                <w:color w:val="000000"/>
                <w:sz w:val="16"/>
                <w:szCs w:val="16"/>
                <w:lang w:eastAsia="en-GB"/>
              </w:rPr>
            </w:pPr>
          </w:p>
        </w:tc>
        <w:tc>
          <w:tcPr>
            <w:tcW w:w="478" w:type="pct"/>
            <w:tcBorders>
              <w:top w:val="nil"/>
              <w:left w:val="nil"/>
              <w:bottom w:val="nil"/>
              <w:right w:val="single" w:sz="8" w:space="0" w:color="auto"/>
            </w:tcBorders>
            <w:vAlign w:val="center"/>
            <w:hideMark/>
          </w:tcPr>
          <w:p w14:paraId="1FF5FF4F"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tcPr>
          <w:p w14:paraId="3B504860" w14:textId="77777777" w:rsidR="00A91A88" w:rsidRDefault="00A91A88" w:rsidP="000D4AFF">
            <w:pPr>
              <w:spacing w:after="0" w:line="240" w:lineRule="auto"/>
              <w:jc w:val="right"/>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vAlign w:val="center"/>
          </w:tcPr>
          <w:p w14:paraId="11F55A14" w14:textId="77777777" w:rsidR="00A91A88" w:rsidRDefault="00A91A88" w:rsidP="000D4AFF">
            <w:pPr>
              <w:spacing w:after="0" w:line="240" w:lineRule="auto"/>
              <w:jc w:val="right"/>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vAlign w:val="center"/>
          </w:tcPr>
          <w:p w14:paraId="0C8D6485" w14:textId="77777777" w:rsidR="00A91A88" w:rsidRDefault="00A91A88" w:rsidP="000D4AFF">
            <w:pPr>
              <w:spacing w:after="0" w:line="240" w:lineRule="auto"/>
              <w:jc w:val="right"/>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vAlign w:val="center"/>
          </w:tcPr>
          <w:p w14:paraId="2755FF16" w14:textId="77777777" w:rsidR="00A91A88" w:rsidRDefault="00A91A88" w:rsidP="000D4AFF">
            <w:pPr>
              <w:spacing w:after="0" w:line="240" w:lineRule="auto"/>
              <w:jc w:val="right"/>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vAlign w:val="center"/>
          </w:tcPr>
          <w:p w14:paraId="2927AE62" w14:textId="77777777" w:rsidR="00A91A88" w:rsidRDefault="00A91A88" w:rsidP="000D4AFF">
            <w:pPr>
              <w:spacing w:after="0" w:line="240" w:lineRule="auto"/>
              <w:jc w:val="right"/>
              <w:rPr>
                <w:rFonts w:ascii="Arial" w:eastAsia="Times New Roman" w:hAnsi="Arial" w:cs="Arial"/>
                <w:color w:val="000000"/>
                <w:sz w:val="16"/>
                <w:szCs w:val="16"/>
                <w:lang w:eastAsia="en-GB"/>
              </w:rPr>
            </w:pPr>
          </w:p>
        </w:tc>
        <w:tc>
          <w:tcPr>
            <w:tcW w:w="342" w:type="pct"/>
            <w:tcBorders>
              <w:top w:val="nil"/>
              <w:left w:val="nil"/>
              <w:bottom w:val="nil"/>
              <w:right w:val="single" w:sz="8" w:space="0" w:color="auto"/>
            </w:tcBorders>
            <w:vAlign w:val="center"/>
            <w:hideMark/>
          </w:tcPr>
          <w:p w14:paraId="7259B2B3"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3" w:type="pct"/>
            <w:tcBorders>
              <w:top w:val="nil"/>
              <w:left w:val="nil"/>
              <w:bottom w:val="nil"/>
              <w:right w:val="single" w:sz="8" w:space="0" w:color="auto"/>
            </w:tcBorders>
          </w:tcPr>
          <w:p w14:paraId="762979B4" w14:textId="77777777" w:rsidR="00A91A88" w:rsidRDefault="00A91A88" w:rsidP="000D4AFF">
            <w:pPr>
              <w:spacing w:after="0" w:line="240" w:lineRule="auto"/>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tcPr>
          <w:p w14:paraId="302EF82F" w14:textId="77777777" w:rsidR="00A91A88" w:rsidRDefault="00A91A88" w:rsidP="000D4AFF">
            <w:pPr>
              <w:spacing w:after="0" w:line="240" w:lineRule="auto"/>
              <w:rPr>
                <w:rFonts w:ascii="Arial" w:eastAsia="Times New Roman" w:hAnsi="Arial" w:cs="Arial"/>
                <w:color w:val="000000"/>
                <w:sz w:val="16"/>
                <w:szCs w:val="16"/>
                <w:lang w:eastAsia="en-GB"/>
              </w:rPr>
            </w:pPr>
          </w:p>
        </w:tc>
        <w:tc>
          <w:tcPr>
            <w:tcW w:w="343" w:type="pct"/>
            <w:tcBorders>
              <w:top w:val="nil"/>
              <w:left w:val="nil"/>
              <w:bottom w:val="nil"/>
              <w:right w:val="single" w:sz="8" w:space="0" w:color="auto"/>
            </w:tcBorders>
          </w:tcPr>
          <w:p w14:paraId="14F3FE6A" w14:textId="77777777" w:rsidR="00A91A88" w:rsidRDefault="00A91A88" w:rsidP="000D4AFF">
            <w:pPr>
              <w:spacing w:after="0" w:line="240" w:lineRule="auto"/>
              <w:rPr>
                <w:rFonts w:ascii="Arial" w:eastAsia="Times New Roman" w:hAnsi="Arial" w:cs="Arial"/>
                <w:color w:val="000000"/>
                <w:sz w:val="16"/>
                <w:szCs w:val="16"/>
                <w:lang w:eastAsia="en-GB"/>
              </w:rPr>
            </w:pPr>
          </w:p>
        </w:tc>
        <w:tc>
          <w:tcPr>
            <w:tcW w:w="410" w:type="pct"/>
            <w:tcBorders>
              <w:top w:val="nil"/>
              <w:left w:val="nil"/>
              <w:bottom w:val="nil"/>
              <w:right w:val="single" w:sz="8" w:space="0" w:color="auto"/>
            </w:tcBorders>
          </w:tcPr>
          <w:p w14:paraId="3B427CE3" w14:textId="77777777" w:rsidR="00A91A88" w:rsidRDefault="00A91A88" w:rsidP="000D4AFF">
            <w:pPr>
              <w:spacing w:after="0" w:line="240" w:lineRule="auto"/>
              <w:rPr>
                <w:rFonts w:ascii="Arial" w:eastAsia="Times New Roman" w:hAnsi="Arial" w:cs="Arial"/>
                <w:color w:val="000000"/>
                <w:sz w:val="16"/>
                <w:szCs w:val="16"/>
                <w:lang w:eastAsia="en-GB"/>
              </w:rPr>
            </w:pPr>
          </w:p>
        </w:tc>
      </w:tr>
      <w:tr w:rsidR="00CC5FFB" w14:paraId="653B3ABE" w14:textId="1F1ABD1B" w:rsidTr="00B67F61">
        <w:trPr>
          <w:trHeight w:val="1125"/>
        </w:trPr>
        <w:tc>
          <w:tcPr>
            <w:tcW w:w="1025" w:type="pct"/>
            <w:tcBorders>
              <w:top w:val="nil"/>
              <w:left w:val="single" w:sz="8" w:space="0" w:color="auto"/>
              <w:bottom w:val="nil"/>
              <w:right w:val="single" w:sz="8" w:space="0" w:color="auto"/>
            </w:tcBorders>
            <w:vAlign w:val="center"/>
            <w:hideMark/>
          </w:tcPr>
          <w:p w14:paraId="4D35286A"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 reduction in the overall numbers of active job seekers, who are receiving JSA and UC claimants in Preston and South Ribble.</w:t>
            </w:r>
          </w:p>
        </w:tc>
        <w:tc>
          <w:tcPr>
            <w:tcW w:w="478" w:type="pct"/>
            <w:tcBorders>
              <w:top w:val="nil"/>
              <w:left w:val="nil"/>
              <w:bottom w:val="nil"/>
              <w:right w:val="single" w:sz="8" w:space="0" w:color="auto"/>
            </w:tcBorders>
            <w:vAlign w:val="center"/>
            <w:hideMark/>
          </w:tcPr>
          <w:p w14:paraId="0B5C404E"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4,803</w:t>
            </w:r>
          </w:p>
        </w:tc>
        <w:tc>
          <w:tcPr>
            <w:tcW w:w="343" w:type="pct"/>
            <w:tcBorders>
              <w:top w:val="nil"/>
              <w:left w:val="nil"/>
              <w:bottom w:val="nil"/>
              <w:right w:val="single" w:sz="8" w:space="0" w:color="auto"/>
            </w:tcBorders>
            <w:vAlign w:val="center"/>
            <w:hideMark/>
          </w:tcPr>
          <w:p w14:paraId="6D1BA2FC"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3,705</w:t>
            </w:r>
          </w:p>
        </w:tc>
        <w:tc>
          <w:tcPr>
            <w:tcW w:w="343" w:type="pct"/>
            <w:tcBorders>
              <w:top w:val="nil"/>
              <w:left w:val="nil"/>
              <w:bottom w:val="nil"/>
              <w:right w:val="single" w:sz="8" w:space="0" w:color="auto"/>
            </w:tcBorders>
            <w:vAlign w:val="center"/>
            <w:hideMark/>
          </w:tcPr>
          <w:p w14:paraId="584895A8"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2,855</w:t>
            </w:r>
          </w:p>
        </w:tc>
        <w:tc>
          <w:tcPr>
            <w:tcW w:w="343" w:type="pct"/>
            <w:tcBorders>
              <w:top w:val="nil"/>
              <w:left w:val="nil"/>
              <w:bottom w:val="nil"/>
              <w:right w:val="single" w:sz="8" w:space="0" w:color="auto"/>
            </w:tcBorders>
            <w:vAlign w:val="center"/>
            <w:hideMark/>
          </w:tcPr>
          <w:p w14:paraId="73A22E76"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2,900</w:t>
            </w:r>
          </w:p>
        </w:tc>
        <w:tc>
          <w:tcPr>
            <w:tcW w:w="343" w:type="pct"/>
            <w:tcBorders>
              <w:top w:val="nil"/>
              <w:left w:val="nil"/>
              <w:bottom w:val="nil"/>
              <w:right w:val="single" w:sz="8" w:space="0" w:color="auto"/>
            </w:tcBorders>
            <w:vAlign w:val="center"/>
            <w:hideMark/>
          </w:tcPr>
          <w:p w14:paraId="2FDD5C4E"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3,175</w:t>
            </w:r>
          </w:p>
        </w:tc>
        <w:tc>
          <w:tcPr>
            <w:tcW w:w="343" w:type="pct"/>
            <w:tcBorders>
              <w:top w:val="nil"/>
              <w:left w:val="nil"/>
              <w:bottom w:val="nil"/>
              <w:right w:val="single" w:sz="8" w:space="0" w:color="auto"/>
            </w:tcBorders>
            <w:vAlign w:val="center"/>
            <w:hideMark/>
          </w:tcPr>
          <w:p w14:paraId="5A2AE47E" w14:textId="77777777"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3,325</w:t>
            </w:r>
          </w:p>
        </w:tc>
        <w:tc>
          <w:tcPr>
            <w:tcW w:w="342" w:type="pct"/>
            <w:tcBorders>
              <w:top w:val="nil"/>
              <w:left w:val="nil"/>
              <w:bottom w:val="nil"/>
              <w:right w:val="single" w:sz="8" w:space="0" w:color="auto"/>
            </w:tcBorders>
            <w:vAlign w:val="center"/>
            <w:hideMark/>
          </w:tcPr>
          <w:p w14:paraId="3A8C8C8B" w14:textId="74EACC1A" w:rsidR="00A91A88" w:rsidRDefault="00A91A88" w:rsidP="000D4AFF">
            <w:pPr>
              <w:spacing w:after="0" w:line="240" w:lineRule="auto"/>
              <w:jc w:val="right"/>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4,275</w:t>
            </w:r>
          </w:p>
        </w:tc>
        <w:tc>
          <w:tcPr>
            <w:tcW w:w="343" w:type="pct"/>
            <w:tcBorders>
              <w:top w:val="nil"/>
              <w:left w:val="nil"/>
              <w:bottom w:val="nil"/>
              <w:right w:val="single" w:sz="8" w:space="0" w:color="auto"/>
            </w:tcBorders>
            <w:vAlign w:val="center"/>
            <w:hideMark/>
          </w:tcPr>
          <w:p w14:paraId="3CF87103" w14:textId="6EA4F0A3" w:rsidR="00A91A88" w:rsidRDefault="00A91A88"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7,955</w:t>
            </w:r>
          </w:p>
        </w:tc>
        <w:tc>
          <w:tcPr>
            <w:tcW w:w="343" w:type="pct"/>
            <w:tcBorders>
              <w:top w:val="nil"/>
              <w:left w:val="nil"/>
              <w:bottom w:val="nil"/>
              <w:right w:val="single" w:sz="8" w:space="0" w:color="auto"/>
            </w:tcBorders>
            <w:vAlign w:val="center"/>
          </w:tcPr>
          <w:p w14:paraId="221442A1" w14:textId="48B08C55" w:rsidR="00A91A88" w:rsidRDefault="00A91A88"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8,853</w:t>
            </w:r>
          </w:p>
        </w:tc>
        <w:tc>
          <w:tcPr>
            <w:tcW w:w="343" w:type="pct"/>
            <w:tcBorders>
              <w:top w:val="nil"/>
              <w:left w:val="nil"/>
              <w:bottom w:val="nil"/>
              <w:right w:val="single" w:sz="8" w:space="0" w:color="auto"/>
            </w:tcBorders>
            <w:vAlign w:val="center"/>
          </w:tcPr>
          <w:p w14:paraId="7E4CD95A" w14:textId="3804811B" w:rsidR="00A91A88" w:rsidRDefault="00A91A88" w:rsidP="000D4AF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5,830</w:t>
            </w:r>
          </w:p>
        </w:tc>
        <w:tc>
          <w:tcPr>
            <w:tcW w:w="410" w:type="pct"/>
            <w:tcBorders>
              <w:top w:val="nil"/>
              <w:left w:val="nil"/>
              <w:bottom w:val="nil"/>
              <w:right w:val="single" w:sz="8" w:space="0" w:color="auto"/>
            </w:tcBorders>
            <w:vAlign w:val="center"/>
          </w:tcPr>
          <w:p w14:paraId="5FD589BD" w14:textId="3805289C" w:rsidR="00A91A88" w:rsidRDefault="00C90D35" w:rsidP="004D4117">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6,030</w:t>
            </w:r>
          </w:p>
        </w:tc>
      </w:tr>
      <w:tr w:rsidR="00CC5FFB" w14:paraId="4833FE2A" w14:textId="4F979F7F" w:rsidTr="00B67F61">
        <w:trPr>
          <w:trHeight w:val="75"/>
        </w:trPr>
        <w:tc>
          <w:tcPr>
            <w:tcW w:w="1025" w:type="pct"/>
            <w:tcBorders>
              <w:top w:val="nil"/>
              <w:left w:val="single" w:sz="8" w:space="0" w:color="auto"/>
              <w:bottom w:val="nil"/>
              <w:right w:val="single" w:sz="8" w:space="0" w:color="auto"/>
            </w:tcBorders>
            <w:vAlign w:val="center"/>
            <w:hideMark/>
          </w:tcPr>
          <w:p w14:paraId="2C497E57"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78" w:type="pct"/>
            <w:tcBorders>
              <w:top w:val="nil"/>
              <w:left w:val="nil"/>
              <w:bottom w:val="nil"/>
              <w:right w:val="single" w:sz="8" w:space="0" w:color="auto"/>
            </w:tcBorders>
            <w:vAlign w:val="center"/>
            <w:hideMark/>
          </w:tcPr>
          <w:p w14:paraId="1A8097FD"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hideMark/>
          </w:tcPr>
          <w:p w14:paraId="52538A38"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hideMark/>
          </w:tcPr>
          <w:p w14:paraId="69EA60DB"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hideMark/>
          </w:tcPr>
          <w:p w14:paraId="5F929B95"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hideMark/>
          </w:tcPr>
          <w:p w14:paraId="16677DCC"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vAlign w:val="center"/>
            <w:hideMark/>
          </w:tcPr>
          <w:p w14:paraId="1B51A658"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2" w:type="pct"/>
            <w:tcBorders>
              <w:top w:val="nil"/>
              <w:left w:val="nil"/>
              <w:bottom w:val="nil"/>
              <w:right w:val="single" w:sz="8" w:space="0" w:color="auto"/>
            </w:tcBorders>
            <w:vAlign w:val="center"/>
            <w:hideMark/>
          </w:tcPr>
          <w:p w14:paraId="26675064"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nil"/>
              <w:right w:val="single" w:sz="8" w:space="0" w:color="auto"/>
            </w:tcBorders>
          </w:tcPr>
          <w:p w14:paraId="6483DEAC"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343" w:type="pct"/>
            <w:tcBorders>
              <w:top w:val="nil"/>
              <w:left w:val="nil"/>
              <w:bottom w:val="nil"/>
              <w:right w:val="single" w:sz="8" w:space="0" w:color="auto"/>
            </w:tcBorders>
          </w:tcPr>
          <w:p w14:paraId="32025E3A"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343" w:type="pct"/>
            <w:tcBorders>
              <w:top w:val="nil"/>
              <w:left w:val="nil"/>
              <w:bottom w:val="nil"/>
              <w:right w:val="single" w:sz="8" w:space="0" w:color="auto"/>
            </w:tcBorders>
          </w:tcPr>
          <w:p w14:paraId="1FE5A692"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410" w:type="pct"/>
            <w:tcBorders>
              <w:top w:val="nil"/>
              <w:left w:val="nil"/>
              <w:bottom w:val="nil"/>
              <w:right w:val="single" w:sz="8" w:space="0" w:color="auto"/>
            </w:tcBorders>
          </w:tcPr>
          <w:p w14:paraId="06CEA880" w14:textId="77777777" w:rsidR="00A91A88" w:rsidRDefault="00A91A88" w:rsidP="000D4AFF">
            <w:pPr>
              <w:spacing w:after="0" w:line="240" w:lineRule="auto"/>
              <w:rPr>
                <w:rFonts w:ascii="Arial" w:eastAsia="Times New Roman" w:hAnsi="Arial" w:cs="Arial"/>
                <w:b/>
                <w:bCs/>
                <w:color w:val="000000"/>
                <w:sz w:val="16"/>
                <w:szCs w:val="16"/>
                <w:lang w:eastAsia="en-GB"/>
              </w:rPr>
            </w:pPr>
          </w:p>
        </w:tc>
      </w:tr>
      <w:tr w:rsidR="00CC5FFB" w14:paraId="35C0CDFF" w14:textId="362A7E04" w:rsidTr="00B67F61">
        <w:trPr>
          <w:trHeight w:val="315"/>
        </w:trPr>
        <w:tc>
          <w:tcPr>
            <w:tcW w:w="1025" w:type="pct"/>
            <w:tcBorders>
              <w:top w:val="nil"/>
              <w:left w:val="single" w:sz="8" w:space="0" w:color="auto"/>
              <w:bottom w:val="single" w:sz="8" w:space="0" w:color="auto"/>
              <w:right w:val="single" w:sz="8" w:space="0" w:color="auto"/>
            </w:tcBorders>
            <w:vAlign w:val="center"/>
            <w:hideMark/>
          </w:tcPr>
          <w:p w14:paraId="0DAA63E8"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DWP Stat-Xplore</w:t>
            </w:r>
          </w:p>
          <w:p w14:paraId="5CC77C2B" w14:textId="77777777" w:rsidR="00A91A88" w:rsidRDefault="00A91A88" w:rsidP="000D4AF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Nomis</w:t>
            </w:r>
          </w:p>
        </w:tc>
        <w:tc>
          <w:tcPr>
            <w:tcW w:w="478" w:type="pct"/>
            <w:tcBorders>
              <w:top w:val="nil"/>
              <w:left w:val="nil"/>
              <w:bottom w:val="single" w:sz="8" w:space="0" w:color="auto"/>
              <w:right w:val="single" w:sz="8" w:space="0" w:color="auto"/>
            </w:tcBorders>
            <w:vAlign w:val="center"/>
            <w:hideMark/>
          </w:tcPr>
          <w:p w14:paraId="6BF362FF"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8" w:space="0" w:color="auto"/>
              <w:right w:val="single" w:sz="8" w:space="0" w:color="auto"/>
            </w:tcBorders>
            <w:vAlign w:val="center"/>
            <w:hideMark/>
          </w:tcPr>
          <w:p w14:paraId="7329C79F"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8" w:space="0" w:color="auto"/>
              <w:right w:val="single" w:sz="8" w:space="0" w:color="auto"/>
            </w:tcBorders>
            <w:vAlign w:val="center"/>
            <w:hideMark/>
          </w:tcPr>
          <w:p w14:paraId="24DC09B0"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8" w:space="0" w:color="auto"/>
              <w:right w:val="single" w:sz="8" w:space="0" w:color="auto"/>
            </w:tcBorders>
            <w:vAlign w:val="center"/>
            <w:hideMark/>
          </w:tcPr>
          <w:p w14:paraId="286C6035"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8" w:space="0" w:color="auto"/>
              <w:right w:val="single" w:sz="8" w:space="0" w:color="auto"/>
            </w:tcBorders>
            <w:vAlign w:val="center"/>
            <w:hideMark/>
          </w:tcPr>
          <w:p w14:paraId="60B39EBA"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8" w:space="0" w:color="auto"/>
              <w:right w:val="single" w:sz="8" w:space="0" w:color="auto"/>
            </w:tcBorders>
            <w:vAlign w:val="center"/>
            <w:hideMark/>
          </w:tcPr>
          <w:p w14:paraId="65DD3EBA"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2" w:type="pct"/>
            <w:tcBorders>
              <w:top w:val="nil"/>
              <w:left w:val="nil"/>
              <w:bottom w:val="single" w:sz="8" w:space="0" w:color="auto"/>
              <w:right w:val="single" w:sz="8" w:space="0" w:color="auto"/>
            </w:tcBorders>
            <w:vAlign w:val="center"/>
            <w:hideMark/>
          </w:tcPr>
          <w:p w14:paraId="73BC5AC1" w14:textId="77777777" w:rsidR="00A91A88" w:rsidRDefault="00A91A88" w:rsidP="000D4AF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343" w:type="pct"/>
            <w:tcBorders>
              <w:top w:val="nil"/>
              <w:left w:val="nil"/>
              <w:bottom w:val="single" w:sz="4" w:space="0" w:color="auto"/>
              <w:right w:val="single" w:sz="8" w:space="0" w:color="auto"/>
            </w:tcBorders>
          </w:tcPr>
          <w:p w14:paraId="1BF2A19D"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343" w:type="pct"/>
            <w:tcBorders>
              <w:top w:val="nil"/>
              <w:left w:val="nil"/>
              <w:bottom w:val="single" w:sz="4" w:space="0" w:color="auto"/>
              <w:right w:val="single" w:sz="8" w:space="0" w:color="auto"/>
            </w:tcBorders>
          </w:tcPr>
          <w:p w14:paraId="462ED57B"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343" w:type="pct"/>
            <w:tcBorders>
              <w:top w:val="nil"/>
              <w:left w:val="nil"/>
              <w:bottom w:val="single" w:sz="4" w:space="0" w:color="auto"/>
              <w:right w:val="single" w:sz="8" w:space="0" w:color="auto"/>
            </w:tcBorders>
          </w:tcPr>
          <w:p w14:paraId="0DC0BA89" w14:textId="77777777" w:rsidR="00A91A88" w:rsidRDefault="00A91A88" w:rsidP="000D4AFF">
            <w:pPr>
              <w:spacing w:after="0" w:line="240" w:lineRule="auto"/>
              <w:rPr>
                <w:rFonts w:ascii="Arial" w:eastAsia="Times New Roman" w:hAnsi="Arial" w:cs="Arial"/>
                <w:b/>
                <w:bCs/>
                <w:color w:val="000000"/>
                <w:sz w:val="16"/>
                <w:szCs w:val="16"/>
                <w:lang w:eastAsia="en-GB"/>
              </w:rPr>
            </w:pPr>
          </w:p>
        </w:tc>
        <w:tc>
          <w:tcPr>
            <w:tcW w:w="410" w:type="pct"/>
            <w:tcBorders>
              <w:top w:val="nil"/>
              <w:left w:val="nil"/>
              <w:bottom w:val="single" w:sz="4" w:space="0" w:color="auto"/>
              <w:right w:val="single" w:sz="8" w:space="0" w:color="auto"/>
            </w:tcBorders>
          </w:tcPr>
          <w:p w14:paraId="17311F38" w14:textId="77777777" w:rsidR="00A91A88" w:rsidRDefault="00A91A88" w:rsidP="000D4AFF">
            <w:pPr>
              <w:spacing w:after="0" w:line="240" w:lineRule="auto"/>
              <w:rPr>
                <w:rFonts w:ascii="Arial" w:eastAsia="Times New Roman" w:hAnsi="Arial" w:cs="Arial"/>
                <w:b/>
                <w:bCs/>
                <w:color w:val="000000"/>
                <w:sz w:val="16"/>
                <w:szCs w:val="16"/>
                <w:lang w:eastAsia="en-GB"/>
              </w:rPr>
            </w:pPr>
          </w:p>
        </w:tc>
      </w:tr>
    </w:tbl>
    <w:p w14:paraId="40AB7A44" w14:textId="77777777" w:rsidR="00FD6F4E" w:rsidRDefault="00FD6F4E" w:rsidP="00FD6F4E">
      <w:pPr>
        <w:spacing w:after="160" w:line="256" w:lineRule="auto"/>
        <w:rPr>
          <w:rFonts w:ascii="Arial" w:hAnsi="Arial" w:cs="Arial"/>
          <w:i/>
          <w:iCs/>
          <w:sz w:val="24"/>
          <w:szCs w:val="24"/>
        </w:rPr>
      </w:pPr>
    </w:p>
    <w:p w14:paraId="0D7E5940" w14:textId="77777777" w:rsidR="00FD6F4E" w:rsidRPr="002C623C" w:rsidRDefault="00FD6F4E" w:rsidP="00FD6F4E">
      <w:pPr>
        <w:spacing w:after="160" w:line="256" w:lineRule="auto"/>
        <w:rPr>
          <w:rFonts w:ascii="Arial" w:hAnsi="Arial" w:cs="Arial"/>
          <w:i/>
          <w:iCs/>
          <w:sz w:val="24"/>
          <w:szCs w:val="24"/>
        </w:rPr>
      </w:pPr>
      <w:r w:rsidRPr="00545AFA">
        <w:rPr>
          <w:rFonts w:ascii="Arial" w:hAnsi="Arial" w:cs="Arial"/>
          <w:b/>
          <w:noProof/>
          <w:sz w:val="24"/>
          <w:szCs w:val="24"/>
          <w:shd w:val="clear" w:color="auto" w:fill="BFBFBF" w:themeFill="background1" w:themeFillShade="BF"/>
        </w:rPr>
        <w:drawing>
          <wp:inline distT="0" distB="0" distL="0" distR="0" wp14:anchorId="59F3C0BD" wp14:editId="65677AF8">
            <wp:extent cx="6066845" cy="2993666"/>
            <wp:effectExtent l="0" t="0" r="1016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3297DC" w14:textId="38276382" w:rsidR="00FD6F4E" w:rsidRDefault="00FD6F4E" w:rsidP="00FD6F4E">
      <w:pPr>
        <w:pStyle w:val="ListParagraph"/>
        <w:numPr>
          <w:ilvl w:val="0"/>
          <w:numId w:val="6"/>
        </w:numPr>
        <w:spacing w:after="160" w:line="256" w:lineRule="auto"/>
        <w:jc w:val="both"/>
        <w:rPr>
          <w:rFonts w:ascii="Arial" w:hAnsi="Arial" w:cs="Arial"/>
          <w:sz w:val="24"/>
          <w:szCs w:val="24"/>
        </w:rPr>
      </w:pPr>
      <w:r w:rsidRPr="008347E2">
        <w:rPr>
          <w:rFonts w:ascii="Arial" w:hAnsi="Arial" w:cs="Arial"/>
          <w:sz w:val="24"/>
          <w:szCs w:val="24"/>
        </w:rPr>
        <w:t xml:space="preserve">Data for Job Seekers Allowance (JSA) and Universal Credit (UC) claimants is provided for </w:t>
      </w:r>
      <w:r>
        <w:rPr>
          <w:rFonts w:ascii="Arial" w:hAnsi="Arial" w:cs="Arial"/>
          <w:sz w:val="24"/>
          <w:szCs w:val="24"/>
        </w:rPr>
        <w:t xml:space="preserve">the </w:t>
      </w:r>
      <w:r w:rsidRPr="008347E2">
        <w:rPr>
          <w:rFonts w:ascii="Arial" w:hAnsi="Arial" w:cs="Arial"/>
          <w:sz w:val="24"/>
          <w:szCs w:val="24"/>
        </w:rPr>
        <w:t>April 202</w:t>
      </w:r>
      <w:r w:rsidR="00B949FE">
        <w:rPr>
          <w:rFonts w:ascii="Arial" w:hAnsi="Arial" w:cs="Arial"/>
          <w:sz w:val="24"/>
          <w:szCs w:val="24"/>
        </w:rPr>
        <w:t>3</w:t>
      </w:r>
      <w:r w:rsidRPr="008347E2">
        <w:rPr>
          <w:rFonts w:ascii="Arial" w:hAnsi="Arial" w:cs="Arial"/>
          <w:sz w:val="24"/>
          <w:szCs w:val="24"/>
        </w:rPr>
        <w:t xml:space="preserve"> reference period</w:t>
      </w:r>
      <w:r>
        <w:rPr>
          <w:rFonts w:ascii="Arial" w:hAnsi="Arial" w:cs="Arial"/>
          <w:sz w:val="24"/>
          <w:szCs w:val="24"/>
        </w:rPr>
        <w:t xml:space="preserve">, standing at </w:t>
      </w:r>
      <w:r w:rsidR="00B949FE">
        <w:rPr>
          <w:rFonts w:ascii="Arial" w:hAnsi="Arial" w:cs="Arial"/>
          <w:sz w:val="24"/>
          <w:szCs w:val="24"/>
        </w:rPr>
        <w:t>6,030</w:t>
      </w:r>
      <w:r>
        <w:rPr>
          <w:rFonts w:ascii="Arial" w:hAnsi="Arial" w:cs="Arial"/>
          <w:sz w:val="24"/>
          <w:szCs w:val="24"/>
        </w:rPr>
        <w:t>, which is higher than the baseline position of 4,803 in April 13.</w:t>
      </w:r>
    </w:p>
    <w:p w14:paraId="06F8A1D3" w14:textId="77777777" w:rsidR="00FD6F4E" w:rsidRDefault="00FD6F4E" w:rsidP="00FD6F4E">
      <w:pPr>
        <w:pStyle w:val="ListParagraph"/>
        <w:spacing w:after="160" w:line="256" w:lineRule="auto"/>
        <w:ind w:left="360"/>
        <w:rPr>
          <w:rFonts w:ascii="Arial" w:hAnsi="Arial" w:cs="Arial"/>
          <w:sz w:val="24"/>
          <w:szCs w:val="24"/>
        </w:rPr>
      </w:pPr>
    </w:p>
    <w:p w14:paraId="0B64D966" w14:textId="0278DEFE" w:rsidR="00FD6F4E" w:rsidRDefault="00B949FE" w:rsidP="00FD6F4E">
      <w:pPr>
        <w:pStyle w:val="ListParagraph"/>
        <w:numPr>
          <w:ilvl w:val="0"/>
          <w:numId w:val="6"/>
        </w:numPr>
        <w:spacing w:after="160" w:line="256" w:lineRule="auto"/>
        <w:jc w:val="both"/>
        <w:rPr>
          <w:rFonts w:ascii="Arial" w:hAnsi="Arial" w:cs="Arial"/>
          <w:sz w:val="24"/>
          <w:szCs w:val="24"/>
        </w:rPr>
      </w:pPr>
      <w:r>
        <w:rPr>
          <w:rFonts w:ascii="Arial" w:hAnsi="Arial" w:cs="Arial"/>
          <w:sz w:val="24"/>
          <w:szCs w:val="24"/>
        </w:rPr>
        <w:t>T</w:t>
      </w:r>
      <w:r w:rsidR="00FD6F4E">
        <w:rPr>
          <w:rFonts w:ascii="Arial" w:hAnsi="Arial" w:cs="Arial"/>
          <w:sz w:val="24"/>
          <w:szCs w:val="24"/>
        </w:rPr>
        <w:t>he April 2</w:t>
      </w:r>
      <w:r>
        <w:rPr>
          <w:rFonts w:ascii="Arial" w:hAnsi="Arial" w:cs="Arial"/>
          <w:sz w:val="24"/>
          <w:szCs w:val="24"/>
        </w:rPr>
        <w:t>023</w:t>
      </w:r>
      <w:r w:rsidR="00FD6F4E">
        <w:rPr>
          <w:rFonts w:ascii="Arial" w:hAnsi="Arial" w:cs="Arial"/>
          <w:sz w:val="24"/>
          <w:szCs w:val="24"/>
        </w:rPr>
        <w:t xml:space="preserve"> position r</w:t>
      </w:r>
      <w:r w:rsidR="00FD6F4E" w:rsidRPr="008347E2">
        <w:rPr>
          <w:rFonts w:ascii="Arial" w:hAnsi="Arial" w:cs="Arial"/>
          <w:sz w:val="24"/>
          <w:szCs w:val="24"/>
        </w:rPr>
        <w:t xml:space="preserve">epresents a </w:t>
      </w:r>
      <w:r>
        <w:rPr>
          <w:rFonts w:ascii="Arial" w:hAnsi="Arial" w:cs="Arial"/>
          <w:sz w:val="24"/>
          <w:szCs w:val="24"/>
        </w:rPr>
        <w:t xml:space="preserve">slight </w:t>
      </w:r>
      <w:r w:rsidR="00FD6F4E">
        <w:rPr>
          <w:rFonts w:ascii="Arial" w:hAnsi="Arial" w:cs="Arial"/>
          <w:sz w:val="24"/>
          <w:szCs w:val="24"/>
        </w:rPr>
        <w:t xml:space="preserve">year-on-year </w:t>
      </w:r>
      <w:r>
        <w:rPr>
          <w:rFonts w:ascii="Arial" w:hAnsi="Arial" w:cs="Arial"/>
          <w:sz w:val="24"/>
          <w:szCs w:val="24"/>
        </w:rPr>
        <w:t>in</w:t>
      </w:r>
      <w:r w:rsidR="00FD6F4E" w:rsidRPr="008347E2">
        <w:rPr>
          <w:rFonts w:ascii="Arial" w:hAnsi="Arial" w:cs="Arial"/>
          <w:sz w:val="24"/>
          <w:szCs w:val="24"/>
        </w:rPr>
        <w:t xml:space="preserve">crease in the claimant count across the City Deal area from </w:t>
      </w:r>
      <w:r>
        <w:rPr>
          <w:rFonts w:ascii="Arial" w:hAnsi="Arial" w:cs="Arial"/>
          <w:sz w:val="24"/>
          <w:szCs w:val="24"/>
        </w:rPr>
        <w:t xml:space="preserve">5,830 </w:t>
      </w:r>
      <w:r w:rsidR="00FD6F4E" w:rsidRPr="008347E2">
        <w:rPr>
          <w:rFonts w:ascii="Arial" w:hAnsi="Arial" w:cs="Arial"/>
          <w:sz w:val="24"/>
          <w:szCs w:val="24"/>
        </w:rPr>
        <w:t>in April 202</w:t>
      </w:r>
      <w:r>
        <w:rPr>
          <w:rFonts w:ascii="Arial" w:hAnsi="Arial" w:cs="Arial"/>
          <w:sz w:val="24"/>
          <w:szCs w:val="24"/>
        </w:rPr>
        <w:t>2</w:t>
      </w:r>
      <w:r w:rsidR="00FD6F4E" w:rsidRPr="008347E2">
        <w:rPr>
          <w:rFonts w:ascii="Arial" w:hAnsi="Arial" w:cs="Arial"/>
          <w:sz w:val="24"/>
          <w:szCs w:val="24"/>
        </w:rPr>
        <w:t xml:space="preserve">. </w:t>
      </w:r>
      <w:r w:rsidR="00FD6F4E">
        <w:rPr>
          <w:rFonts w:ascii="Arial" w:hAnsi="Arial" w:cs="Arial"/>
          <w:sz w:val="24"/>
          <w:szCs w:val="24"/>
        </w:rPr>
        <w:t>Th</w:t>
      </w:r>
      <w:r w:rsidR="00FD6F4E" w:rsidRPr="008347E2">
        <w:rPr>
          <w:rFonts w:ascii="Arial" w:hAnsi="Arial" w:cs="Arial"/>
          <w:sz w:val="24"/>
          <w:szCs w:val="24"/>
        </w:rPr>
        <w:t>is</w:t>
      </w:r>
      <w:r>
        <w:rPr>
          <w:rFonts w:ascii="Arial" w:hAnsi="Arial" w:cs="Arial"/>
          <w:sz w:val="24"/>
          <w:szCs w:val="24"/>
        </w:rPr>
        <w:t xml:space="preserve"> position however is a marked reduction in </w:t>
      </w:r>
      <w:r w:rsidR="00FD6F4E" w:rsidRPr="008347E2">
        <w:rPr>
          <w:rFonts w:ascii="Arial" w:hAnsi="Arial" w:cs="Arial"/>
          <w:sz w:val="24"/>
          <w:szCs w:val="24"/>
        </w:rPr>
        <w:t xml:space="preserve">the recovery in the labour market since the Covid-19 </w:t>
      </w:r>
      <w:r w:rsidR="00FD6F4E" w:rsidRPr="008347E2">
        <w:rPr>
          <w:rFonts w:ascii="Arial" w:hAnsi="Arial" w:cs="Arial"/>
          <w:sz w:val="24"/>
          <w:szCs w:val="24"/>
        </w:rPr>
        <w:lastRenderedPageBreak/>
        <w:t>pandemic. The most recent data available</w:t>
      </w:r>
      <w:r w:rsidR="00FD6F4E">
        <w:rPr>
          <w:rFonts w:ascii="Arial" w:hAnsi="Arial" w:cs="Arial"/>
          <w:sz w:val="24"/>
          <w:szCs w:val="24"/>
        </w:rPr>
        <w:t xml:space="preserve"> for this measure </w:t>
      </w:r>
      <w:r w:rsidR="00FD6F4E" w:rsidRPr="008347E2">
        <w:rPr>
          <w:rFonts w:ascii="Arial" w:hAnsi="Arial" w:cs="Arial"/>
          <w:sz w:val="24"/>
          <w:szCs w:val="24"/>
        </w:rPr>
        <w:t xml:space="preserve">is for </w:t>
      </w:r>
      <w:r w:rsidR="00B71C5A">
        <w:rPr>
          <w:rFonts w:ascii="Arial" w:hAnsi="Arial" w:cs="Arial"/>
          <w:sz w:val="24"/>
          <w:szCs w:val="24"/>
        </w:rPr>
        <w:t>October</w:t>
      </w:r>
      <w:r w:rsidR="00FD6F4E" w:rsidRPr="008347E2">
        <w:rPr>
          <w:rFonts w:ascii="Arial" w:hAnsi="Arial" w:cs="Arial"/>
          <w:sz w:val="24"/>
          <w:szCs w:val="24"/>
        </w:rPr>
        <w:t xml:space="preserve"> 2023 (not listed on the table) </w:t>
      </w:r>
      <w:r w:rsidR="00FD6F4E">
        <w:rPr>
          <w:rFonts w:ascii="Arial" w:hAnsi="Arial" w:cs="Arial"/>
          <w:sz w:val="24"/>
          <w:szCs w:val="24"/>
        </w:rPr>
        <w:t xml:space="preserve">and </w:t>
      </w:r>
      <w:r w:rsidR="00B71C5A">
        <w:rPr>
          <w:rFonts w:ascii="Arial" w:hAnsi="Arial" w:cs="Arial"/>
          <w:sz w:val="24"/>
          <w:szCs w:val="24"/>
        </w:rPr>
        <w:t>has increased by a</w:t>
      </w:r>
      <w:r w:rsidR="00303B14">
        <w:rPr>
          <w:rFonts w:ascii="Arial" w:hAnsi="Arial" w:cs="Arial"/>
          <w:sz w:val="24"/>
          <w:szCs w:val="24"/>
        </w:rPr>
        <w:t xml:space="preserve">lmost </w:t>
      </w:r>
      <w:r w:rsidR="00B71C5A">
        <w:rPr>
          <w:rFonts w:ascii="Arial" w:hAnsi="Arial" w:cs="Arial"/>
          <w:sz w:val="24"/>
          <w:szCs w:val="24"/>
        </w:rPr>
        <w:t>100 claimants</w:t>
      </w:r>
      <w:r w:rsidR="00FD6F4E">
        <w:rPr>
          <w:rFonts w:ascii="Arial" w:hAnsi="Arial" w:cs="Arial"/>
          <w:sz w:val="24"/>
          <w:szCs w:val="24"/>
        </w:rPr>
        <w:t xml:space="preserve"> (</w:t>
      </w:r>
      <w:r w:rsidR="00F2744C">
        <w:rPr>
          <w:rFonts w:ascii="Arial" w:hAnsi="Arial" w:cs="Arial"/>
          <w:sz w:val="24"/>
          <w:szCs w:val="24"/>
        </w:rPr>
        <w:t>6,125</w:t>
      </w:r>
      <w:r w:rsidR="00FD6F4E">
        <w:rPr>
          <w:rFonts w:ascii="Arial" w:hAnsi="Arial" w:cs="Arial"/>
          <w:sz w:val="24"/>
          <w:szCs w:val="24"/>
        </w:rPr>
        <w:t xml:space="preserve"> claimants)</w:t>
      </w:r>
      <w:r w:rsidR="00FD6F4E" w:rsidRPr="008347E2">
        <w:rPr>
          <w:rFonts w:ascii="Arial" w:hAnsi="Arial" w:cs="Arial"/>
          <w:sz w:val="24"/>
          <w:szCs w:val="24"/>
        </w:rPr>
        <w:t>.</w:t>
      </w:r>
    </w:p>
    <w:p w14:paraId="36F4C4F1" w14:textId="77777777" w:rsidR="00FD6F4E" w:rsidRPr="0067643C" w:rsidRDefault="00FD6F4E" w:rsidP="00FD6F4E">
      <w:pPr>
        <w:pStyle w:val="ListParagraph"/>
        <w:rPr>
          <w:rFonts w:ascii="Arial" w:hAnsi="Arial" w:cs="Arial"/>
          <w:sz w:val="24"/>
          <w:szCs w:val="24"/>
        </w:rPr>
      </w:pPr>
    </w:p>
    <w:p w14:paraId="673435CE" w14:textId="5829C1E8" w:rsidR="00FD6F4E" w:rsidRPr="00762860" w:rsidRDefault="00FD6F4E" w:rsidP="00FD6F4E">
      <w:pPr>
        <w:pStyle w:val="ListParagraph"/>
        <w:numPr>
          <w:ilvl w:val="0"/>
          <w:numId w:val="6"/>
        </w:numPr>
        <w:spacing w:after="160" w:line="256" w:lineRule="auto"/>
        <w:jc w:val="both"/>
        <w:rPr>
          <w:rFonts w:ascii="Arial" w:hAnsi="Arial" w:cs="Arial"/>
          <w:sz w:val="24"/>
          <w:szCs w:val="24"/>
        </w:rPr>
      </w:pPr>
      <w:r w:rsidRPr="00762860">
        <w:rPr>
          <w:rFonts w:ascii="Arial" w:hAnsi="Arial" w:cs="Arial"/>
          <w:sz w:val="24"/>
          <w:szCs w:val="24"/>
        </w:rPr>
        <w:t xml:space="preserve">The claimant count </w:t>
      </w:r>
      <w:r w:rsidR="00ED3F80">
        <w:rPr>
          <w:rFonts w:ascii="Arial" w:hAnsi="Arial" w:cs="Arial"/>
          <w:sz w:val="24"/>
          <w:szCs w:val="24"/>
        </w:rPr>
        <w:t xml:space="preserve">rates </w:t>
      </w:r>
      <w:r w:rsidRPr="00762860">
        <w:rPr>
          <w:rFonts w:ascii="Arial" w:hAnsi="Arial" w:cs="Arial"/>
          <w:sz w:val="24"/>
          <w:szCs w:val="24"/>
        </w:rPr>
        <w:t>for South Ribble and Preston</w:t>
      </w:r>
      <w:r w:rsidR="00ED3F80">
        <w:rPr>
          <w:rFonts w:ascii="Arial" w:hAnsi="Arial" w:cs="Arial"/>
          <w:sz w:val="24"/>
          <w:szCs w:val="24"/>
        </w:rPr>
        <w:t xml:space="preserve"> </w:t>
      </w:r>
      <w:r w:rsidR="00CB58CE">
        <w:rPr>
          <w:rFonts w:ascii="Arial" w:hAnsi="Arial" w:cs="Arial"/>
          <w:sz w:val="24"/>
          <w:szCs w:val="24"/>
        </w:rPr>
        <w:t>were</w:t>
      </w:r>
      <w:r w:rsidRPr="00762860">
        <w:rPr>
          <w:rFonts w:ascii="Arial" w:hAnsi="Arial" w:cs="Arial"/>
          <w:sz w:val="24"/>
          <w:szCs w:val="24"/>
        </w:rPr>
        <w:t xml:space="preserve"> </w:t>
      </w:r>
      <w:r>
        <w:rPr>
          <w:rFonts w:ascii="Arial" w:hAnsi="Arial" w:cs="Arial"/>
          <w:sz w:val="24"/>
          <w:szCs w:val="24"/>
        </w:rPr>
        <w:t>2.</w:t>
      </w:r>
      <w:r w:rsidR="00ED3F80">
        <w:rPr>
          <w:rFonts w:ascii="Arial" w:hAnsi="Arial" w:cs="Arial"/>
          <w:sz w:val="24"/>
          <w:szCs w:val="24"/>
        </w:rPr>
        <w:t>5</w:t>
      </w:r>
      <w:r w:rsidRPr="00762860">
        <w:rPr>
          <w:rFonts w:ascii="Arial" w:hAnsi="Arial" w:cs="Arial"/>
          <w:sz w:val="24"/>
          <w:szCs w:val="24"/>
        </w:rPr>
        <w:t xml:space="preserve">% and </w:t>
      </w:r>
      <w:r>
        <w:rPr>
          <w:rFonts w:ascii="Arial" w:hAnsi="Arial" w:cs="Arial"/>
          <w:sz w:val="24"/>
          <w:szCs w:val="24"/>
        </w:rPr>
        <w:t>4.</w:t>
      </w:r>
      <w:r w:rsidR="00ED3F80">
        <w:rPr>
          <w:rFonts w:ascii="Arial" w:hAnsi="Arial" w:cs="Arial"/>
          <w:sz w:val="24"/>
          <w:szCs w:val="24"/>
        </w:rPr>
        <w:t>5</w:t>
      </w:r>
      <w:r w:rsidRPr="00762860">
        <w:rPr>
          <w:rFonts w:ascii="Arial" w:hAnsi="Arial" w:cs="Arial"/>
          <w:sz w:val="24"/>
          <w:szCs w:val="24"/>
        </w:rPr>
        <w:t>%</w:t>
      </w:r>
      <w:r>
        <w:rPr>
          <w:rFonts w:ascii="Arial" w:hAnsi="Arial" w:cs="Arial"/>
          <w:sz w:val="24"/>
          <w:szCs w:val="24"/>
        </w:rPr>
        <w:t xml:space="preserve"> respectively</w:t>
      </w:r>
      <w:r w:rsidRPr="00762860">
        <w:rPr>
          <w:rFonts w:ascii="Arial" w:hAnsi="Arial" w:cs="Arial"/>
          <w:sz w:val="24"/>
          <w:szCs w:val="24"/>
        </w:rPr>
        <w:t xml:space="preserve"> </w:t>
      </w:r>
      <w:r>
        <w:rPr>
          <w:rFonts w:ascii="Arial" w:hAnsi="Arial" w:cs="Arial"/>
          <w:sz w:val="24"/>
          <w:szCs w:val="24"/>
        </w:rPr>
        <w:t>for April 202</w:t>
      </w:r>
      <w:r w:rsidR="00ED3F80">
        <w:rPr>
          <w:rFonts w:ascii="Arial" w:hAnsi="Arial" w:cs="Arial"/>
          <w:sz w:val="24"/>
          <w:szCs w:val="24"/>
        </w:rPr>
        <w:t>3</w:t>
      </w:r>
      <w:r w:rsidRPr="00762860">
        <w:rPr>
          <w:rFonts w:ascii="Arial" w:hAnsi="Arial" w:cs="Arial"/>
          <w:sz w:val="24"/>
          <w:szCs w:val="24"/>
        </w:rPr>
        <w:t>. Th</w:t>
      </w:r>
      <w:r>
        <w:rPr>
          <w:rFonts w:ascii="Arial" w:hAnsi="Arial" w:cs="Arial"/>
          <w:sz w:val="24"/>
          <w:szCs w:val="24"/>
        </w:rPr>
        <w:t>is compares with a claimant count rate of 4.2% in Lancashire (LEP area geography) and 4.</w:t>
      </w:r>
      <w:r w:rsidR="00963A13">
        <w:rPr>
          <w:rFonts w:ascii="Arial" w:hAnsi="Arial" w:cs="Arial"/>
          <w:sz w:val="24"/>
          <w:szCs w:val="24"/>
        </w:rPr>
        <w:t>3</w:t>
      </w:r>
      <w:r>
        <w:rPr>
          <w:rFonts w:ascii="Arial" w:hAnsi="Arial" w:cs="Arial"/>
          <w:sz w:val="24"/>
          <w:szCs w:val="24"/>
        </w:rPr>
        <w:t>% in the North West for the same period.</w:t>
      </w:r>
      <w:r w:rsidR="00771E8E">
        <w:rPr>
          <w:rFonts w:ascii="Arial" w:hAnsi="Arial" w:cs="Arial"/>
          <w:sz w:val="24"/>
          <w:szCs w:val="24"/>
        </w:rPr>
        <w:t xml:space="preserve"> </w:t>
      </w:r>
      <w:r>
        <w:rPr>
          <w:rFonts w:ascii="Arial" w:hAnsi="Arial" w:cs="Arial"/>
          <w:sz w:val="24"/>
          <w:szCs w:val="24"/>
        </w:rPr>
        <w:t xml:space="preserve"> </w:t>
      </w:r>
    </w:p>
    <w:p w14:paraId="03F80684" w14:textId="77777777" w:rsidR="009068C5" w:rsidRDefault="009068C5" w:rsidP="000F7D1D">
      <w:pPr>
        <w:rPr>
          <w:rFonts w:ascii="Arial" w:hAnsi="Arial" w:cs="Arial"/>
          <w:b/>
          <w:sz w:val="24"/>
          <w:szCs w:val="24"/>
        </w:rPr>
      </w:pPr>
    </w:p>
    <w:p w14:paraId="5720774C" w14:textId="2A986412" w:rsidR="000F7D1D" w:rsidRPr="00FD6F4E" w:rsidRDefault="000F7D1D" w:rsidP="00FD6F4E">
      <w:pPr>
        <w:pStyle w:val="ListParagraph"/>
        <w:numPr>
          <w:ilvl w:val="1"/>
          <w:numId w:val="13"/>
        </w:numPr>
        <w:rPr>
          <w:rFonts w:ascii="Arial" w:hAnsi="Arial" w:cs="Arial"/>
          <w:b/>
          <w:sz w:val="24"/>
          <w:szCs w:val="24"/>
        </w:rPr>
      </w:pPr>
      <w:r w:rsidRPr="00FD6F4E">
        <w:rPr>
          <w:rFonts w:ascii="Arial" w:hAnsi="Arial" w:cs="Arial"/>
          <w:b/>
          <w:sz w:val="24"/>
          <w:szCs w:val="24"/>
        </w:rPr>
        <w:t xml:space="preserve">Summary of </w:t>
      </w:r>
      <w:r w:rsidR="0024290F">
        <w:rPr>
          <w:rFonts w:ascii="Arial" w:hAnsi="Arial" w:cs="Arial"/>
          <w:b/>
          <w:sz w:val="24"/>
          <w:szCs w:val="24"/>
        </w:rPr>
        <w:t xml:space="preserve">Apprenticeships and Careers </w:t>
      </w:r>
      <w:r w:rsidRPr="00FD6F4E">
        <w:rPr>
          <w:rFonts w:ascii="Arial" w:hAnsi="Arial" w:cs="Arial"/>
          <w:b/>
          <w:sz w:val="24"/>
          <w:szCs w:val="24"/>
        </w:rPr>
        <w:t xml:space="preserve">measures </w:t>
      </w:r>
    </w:p>
    <w:p w14:paraId="41864561" w14:textId="3EFE4536" w:rsidR="000F7D1D" w:rsidRPr="009068C5" w:rsidRDefault="0024290F" w:rsidP="0077405F">
      <w:pPr>
        <w:jc w:val="both"/>
        <w:rPr>
          <w:rFonts w:ascii="Arial" w:hAnsi="Arial" w:cs="Arial"/>
          <w:bCs/>
          <w:sz w:val="24"/>
          <w:szCs w:val="24"/>
        </w:rPr>
      </w:pPr>
      <w:r>
        <w:rPr>
          <w:rFonts w:ascii="Arial" w:hAnsi="Arial" w:cs="Arial"/>
          <w:bCs/>
          <w:sz w:val="24"/>
          <w:szCs w:val="24"/>
        </w:rPr>
        <w:t xml:space="preserve">Supporting the take up of Apprenticeships and levering support for Careers activity were measures anticipated to be impacted through City Deal. </w:t>
      </w:r>
      <w:r w:rsidR="009068C5" w:rsidRPr="009068C5">
        <w:rPr>
          <w:rFonts w:ascii="Arial" w:hAnsi="Arial" w:cs="Arial"/>
          <w:bCs/>
          <w:sz w:val="24"/>
          <w:szCs w:val="24"/>
        </w:rPr>
        <w:t xml:space="preserve">For </w:t>
      </w:r>
      <w:r w:rsidR="00D321B5">
        <w:rPr>
          <w:rFonts w:ascii="Arial" w:hAnsi="Arial" w:cs="Arial"/>
          <w:bCs/>
          <w:sz w:val="24"/>
          <w:szCs w:val="24"/>
        </w:rPr>
        <w:t>each of the</w:t>
      </w:r>
      <w:r>
        <w:rPr>
          <w:rFonts w:ascii="Arial" w:hAnsi="Arial" w:cs="Arial"/>
          <w:bCs/>
          <w:sz w:val="24"/>
          <w:szCs w:val="24"/>
        </w:rPr>
        <w:t>se</w:t>
      </w:r>
      <w:r w:rsidR="00D321B5">
        <w:rPr>
          <w:rFonts w:ascii="Arial" w:hAnsi="Arial" w:cs="Arial"/>
          <w:bCs/>
          <w:sz w:val="24"/>
          <w:szCs w:val="24"/>
        </w:rPr>
        <w:t xml:space="preserve"> </w:t>
      </w:r>
      <w:r w:rsidR="003A15FC">
        <w:rPr>
          <w:rFonts w:ascii="Arial" w:hAnsi="Arial" w:cs="Arial"/>
          <w:bCs/>
          <w:sz w:val="24"/>
          <w:szCs w:val="24"/>
        </w:rPr>
        <w:t>measures</w:t>
      </w:r>
      <w:r w:rsidR="0077405F">
        <w:rPr>
          <w:rFonts w:ascii="Arial" w:hAnsi="Arial" w:cs="Arial"/>
          <w:bCs/>
          <w:sz w:val="24"/>
          <w:szCs w:val="24"/>
        </w:rPr>
        <w:t>,</w:t>
      </w:r>
      <w:r w:rsidR="00D321B5">
        <w:rPr>
          <w:rFonts w:ascii="Arial" w:hAnsi="Arial" w:cs="Arial"/>
          <w:bCs/>
          <w:sz w:val="24"/>
          <w:szCs w:val="24"/>
        </w:rPr>
        <w:t xml:space="preserve"> </w:t>
      </w:r>
      <w:r w:rsidR="009068C5">
        <w:rPr>
          <w:rFonts w:ascii="Arial" w:hAnsi="Arial" w:cs="Arial"/>
          <w:bCs/>
          <w:sz w:val="24"/>
          <w:szCs w:val="24"/>
        </w:rPr>
        <w:t xml:space="preserve">data is no longer </w:t>
      </w:r>
      <w:r w:rsidR="00D321B5">
        <w:rPr>
          <w:rFonts w:ascii="Arial" w:hAnsi="Arial" w:cs="Arial"/>
          <w:bCs/>
          <w:sz w:val="24"/>
          <w:szCs w:val="24"/>
        </w:rPr>
        <w:t>available</w:t>
      </w:r>
      <w:r w:rsidR="003A15FC">
        <w:rPr>
          <w:rFonts w:ascii="Arial" w:hAnsi="Arial" w:cs="Arial"/>
          <w:bCs/>
          <w:sz w:val="24"/>
          <w:szCs w:val="24"/>
        </w:rPr>
        <w:t xml:space="preserve"> in the same format</w:t>
      </w:r>
      <w:r w:rsidR="00D321B5">
        <w:rPr>
          <w:rFonts w:ascii="Arial" w:hAnsi="Arial" w:cs="Arial"/>
          <w:bCs/>
          <w:sz w:val="24"/>
          <w:szCs w:val="24"/>
        </w:rPr>
        <w:t>, meaning we have not been able to track the measure over time. In some cases</w:t>
      </w:r>
      <w:r w:rsidR="009D7BCC">
        <w:rPr>
          <w:rFonts w:ascii="Arial" w:hAnsi="Arial" w:cs="Arial"/>
          <w:bCs/>
          <w:sz w:val="24"/>
          <w:szCs w:val="24"/>
        </w:rPr>
        <w:t xml:space="preserve">, data hasn’t been available for </w:t>
      </w:r>
      <w:r>
        <w:rPr>
          <w:rFonts w:ascii="Arial" w:hAnsi="Arial" w:cs="Arial"/>
          <w:bCs/>
          <w:sz w:val="24"/>
          <w:szCs w:val="24"/>
        </w:rPr>
        <w:t>several</w:t>
      </w:r>
      <w:r w:rsidR="009D7BCC">
        <w:rPr>
          <w:rFonts w:ascii="Arial" w:hAnsi="Arial" w:cs="Arial"/>
          <w:bCs/>
          <w:sz w:val="24"/>
          <w:szCs w:val="24"/>
        </w:rPr>
        <w:t xml:space="preserve"> years. For each of the measures, the most recent position is provided with commentary to describe</w:t>
      </w:r>
      <w:r w:rsidR="004E152A">
        <w:rPr>
          <w:rFonts w:ascii="Arial" w:hAnsi="Arial" w:cs="Arial"/>
          <w:bCs/>
          <w:sz w:val="24"/>
          <w:szCs w:val="24"/>
        </w:rPr>
        <w:t xml:space="preserve"> the trend over time. </w:t>
      </w:r>
    </w:p>
    <w:p w14:paraId="4D772FB0" w14:textId="071C3D9B" w:rsidR="003F11E4" w:rsidRDefault="002317E9" w:rsidP="003F11E4">
      <w:pPr>
        <w:spacing w:after="160"/>
        <w:rPr>
          <w:rFonts w:ascii="Arial" w:hAnsi="Arial" w:cs="Arial"/>
          <w:i/>
          <w:iCs/>
          <w:sz w:val="24"/>
          <w:szCs w:val="24"/>
        </w:rPr>
      </w:pPr>
      <w:r>
        <w:rPr>
          <w:rFonts w:ascii="Arial" w:hAnsi="Arial" w:cs="Arial"/>
          <w:i/>
          <w:iCs/>
          <w:sz w:val="24"/>
          <w:szCs w:val="24"/>
        </w:rPr>
        <w:t>2</w:t>
      </w:r>
      <w:r w:rsidR="00AD2530">
        <w:rPr>
          <w:rFonts w:ascii="Arial" w:hAnsi="Arial" w:cs="Arial"/>
          <w:i/>
          <w:iCs/>
          <w:sz w:val="24"/>
          <w:szCs w:val="24"/>
        </w:rPr>
        <w:t xml:space="preserve">.1.1 </w:t>
      </w:r>
      <w:r w:rsidR="00B60C13" w:rsidRPr="003F11E4">
        <w:rPr>
          <w:rFonts w:ascii="Arial" w:hAnsi="Arial" w:cs="Arial"/>
          <w:i/>
          <w:iCs/>
          <w:sz w:val="24"/>
          <w:szCs w:val="24"/>
        </w:rPr>
        <w:t xml:space="preserve">Apprenticeship starts </w:t>
      </w:r>
      <w:r w:rsidR="0004640E" w:rsidRPr="003F11E4">
        <w:rPr>
          <w:rFonts w:ascii="Arial" w:hAnsi="Arial" w:cs="Arial"/>
          <w:i/>
          <w:iCs/>
          <w:sz w:val="24"/>
          <w:szCs w:val="24"/>
        </w:rPr>
        <w:t xml:space="preserve">for </w:t>
      </w:r>
      <w:proofErr w:type="gramStart"/>
      <w:r w:rsidR="0004640E" w:rsidRPr="003F11E4">
        <w:rPr>
          <w:rFonts w:ascii="Arial" w:hAnsi="Arial" w:cs="Arial"/>
          <w:i/>
          <w:iCs/>
          <w:sz w:val="24"/>
          <w:szCs w:val="24"/>
        </w:rPr>
        <w:t>16-24 year olds</w:t>
      </w:r>
      <w:proofErr w:type="gramEnd"/>
      <w:r w:rsidR="0004640E" w:rsidRPr="003F11E4">
        <w:rPr>
          <w:rFonts w:ascii="Arial" w:hAnsi="Arial" w:cs="Arial"/>
          <w:i/>
          <w:iCs/>
          <w:sz w:val="24"/>
          <w:szCs w:val="24"/>
        </w:rPr>
        <w:t xml:space="preserve"> </w:t>
      </w:r>
      <w:r w:rsidR="00B60C13" w:rsidRPr="003F11E4">
        <w:rPr>
          <w:rFonts w:ascii="Arial" w:hAnsi="Arial" w:cs="Arial"/>
          <w:i/>
          <w:iCs/>
          <w:sz w:val="24"/>
          <w:szCs w:val="24"/>
        </w:rPr>
        <w:t xml:space="preserve">in </w:t>
      </w:r>
      <w:r w:rsidR="00B31445" w:rsidRPr="003F11E4">
        <w:rPr>
          <w:rFonts w:ascii="Arial" w:hAnsi="Arial" w:cs="Arial"/>
          <w:i/>
          <w:iCs/>
          <w:sz w:val="24"/>
          <w:szCs w:val="24"/>
        </w:rPr>
        <w:t>C</w:t>
      </w:r>
      <w:r w:rsidR="00B60C13" w:rsidRPr="003F11E4">
        <w:rPr>
          <w:rFonts w:ascii="Arial" w:hAnsi="Arial" w:cs="Arial"/>
          <w:i/>
          <w:iCs/>
          <w:sz w:val="24"/>
          <w:szCs w:val="24"/>
        </w:rPr>
        <w:t>onstruction</w:t>
      </w:r>
    </w:p>
    <w:tbl>
      <w:tblPr>
        <w:tblW w:w="5658" w:type="pct"/>
        <w:tblLayout w:type="fixed"/>
        <w:tblLook w:val="04A0" w:firstRow="1" w:lastRow="0" w:firstColumn="1" w:lastColumn="0" w:noHBand="0" w:noVBand="1"/>
      </w:tblPr>
      <w:tblGrid>
        <w:gridCol w:w="2121"/>
        <w:gridCol w:w="990"/>
        <w:gridCol w:w="710"/>
        <w:gridCol w:w="710"/>
        <w:gridCol w:w="710"/>
        <w:gridCol w:w="710"/>
        <w:gridCol w:w="710"/>
        <w:gridCol w:w="708"/>
        <w:gridCol w:w="710"/>
        <w:gridCol w:w="710"/>
        <w:gridCol w:w="712"/>
        <w:gridCol w:w="702"/>
      </w:tblGrid>
      <w:tr w:rsidR="00F9636E" w14:paraId="041AFA13" w14:textId="33D60C83" w:rsidTr="00610FE7">
        <w:trPr>
          <w:trHeight w:val="300"/>
        </w:trPr>
        <w:tc>
          <w:tcPr>
            <w:tcW w:w="1039" w:type="pct"/>
            <w:tcBorders>
              <w:top w:val="single" w:sz="4" w:space="0" w:color="auto"/>
              <w:left w:val="single" w:sz="4" w:space="0" w:color="auto"/>
              <w:bottom w:val="nil"/>
              <w:right w:val="single" w:sz="8" w:space="0" w:color="auto"/>
            </w:tcBorders>
            <w:shd w:val="clear" w:color="auto" w:fill="F2F2F2" w:themeFill="background1" w:themeFillShade="F2"/>
            <w:vAlign w:val="center"/>
            <w:hideMark/>
          </w:tcPr>
          <w:p w14:paraId="04AEFEE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485" w:type="pct"/>
            <w:tcBorders>
              <w:top w:val="single" w:sz="4" w:space="0" w:color="auto"/>
              <w:left w:val="nil"/>
              <w:bottom w:val="nil"/>
              <w:right w:val="single" w:sz="4" w:space="0" w:color="auto"/>
            </w:tcBorders>
            <w:shd w:val="clear" w:color="auto" w:fill="F2F2F2" w:themeFill="background1" w:themeFillShade="F2"/>
            <w:vAlign w:val="center"/>
            <w:hideMark/>
          </w:tcPr>
          <w:p w14:paraId="4876AA01"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64D563"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5AF575"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Yr.2 </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874FB6"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Yr.3 </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9DA87"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Yr.4</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1259D"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Yr.5*</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DCD733"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Yr.6</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866D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Yr.7</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F13FD"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Yr.8</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EAA60"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Yr.9</w:t>
            </w:r>
          </w:p>
        </w:tc>
        <w:tc>
          <w:tcPr>
            <w:tcW w:w="3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5AAD974" w14:textId="7CAC74B0" w:rsidR="00226537" w:rsidRDefault="00BB281D" w:rsidP="00BB281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Yr.10</w:t>
            </w:r>
          </w:p>
        </w:tc>
      </w:tr>
      <w:tr w:rsidR="00F9636E" w14:paraId="67D6986D" w14:textId="437B05A6" w:rsidTr="00610FE7">
        <w:trPr>
          <w:trHeight w:val="351"/>
        </w:trPr>
        <w:tc>
          <w:tcPr>
            <w:tcW w:w="1039" w:type="pct"/>
            <w:tcBorders>
              <w:top w:val="nil"/>
              <w:left w:val="single" w:sz="4" w:space="0" w:color="auto"/>
              <w:bottom w:val="nil"/>
              <w:right w:val="single" w:sz="8" w:space="0" w:color="auto"/>
            </w:tcBorders>
            <w:shd w:val="clear" w:color="auto" w:fill="F2F2F2" w:themeFill="background1" w:themeFillShade="F2"/>
            <w:vAlign w:val="center"/>
            <w:hideMark/>
          </w:tcPr>
          <w:p w14:paraId="19F84C2C"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85" w:type="pct"/>
            <w:vMerge w:val="restart"/>
            <w:tcBorders>
              <w:top w:val="nil"/>
              <w:left w:val="single" w:sz="8" w:space="0" w:color="auto"/>
              <w:bottom w:val="single" w:sz="8" w:space="0" w:color="000000" w:themeColor="text1"/>
              <w:right w:val="single" w:sz="4" w:space="0" w:color="auto"/>
            </w:tcBorders>
            <w:shd w:val="clear" w:color="auto" w:fill="F2F2F2" w:themeFill="background1" w:themeFillShade="F2"/>
            <w:vAlign w:val="center"/>
            <w:hideMark/>
          </w:tcPr>
          <w:p w14:paraId="658F0056" w14:textId="77777777" w:rsidR="00226537" w:rsidRDefault="00226537" w:rsidP="00F42ED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A0CC09B"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645BA3A"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C05F43A"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B770E8A"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175AA30" w14:textId="77777777" w:rsidR="00226537" w:rsidRDefault="00226537" w:rsidP="00F42EDD">
            <w:pPr>
              <w:spacing w:after="0"/>
              <w:rPr>
                <w:rFonts w:ascii="Arial" w:eastAsia="Times New Roman" w:hAnsi="Arial" w:cs="Arial"/>
                <w:b/>
                <w:bCs/>
                <w:color w:val="000000"/>
                <w:sz w:val="16"/>
                <w:szCs w:val="16"/>
                <w:lang w:eastAsia="en-GB"/>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1A0EB60D"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16AD68F"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3AB5F604"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71ABD350" w14:textId="77777777" w:rsidR="00226537" w:rsidRDefault="00226537" w:rsidP="00F42EDD">
            <w:pPr>
              <w:spacing w:after="0"/>
              <w:rPr>
                <w:rFonts w:ascii="Arial" w:eastAsia="Times New Roman" w:hAnsi="Arial" w:cs="Arial"/>
                <w:b/>
                <w:bCs/>
                <w:color w:val="000000"/>
                <w:sz w:val="16"/>
                <w:szCs w:val="16"/>
                <w:lang w:eastAsia="en-GB"/>
              </w:rPr>
            </w:pPr>
          </w:p>
        </w:tc>
        <w:tc>
          <w:tcPr>
            <w:tcW w:w="344" w:type="pct"/>
            <w:vMerge/>
            <w:tcBorders>
              <w:left w:val="single" w:sz="4" w:space="0" w:color="auto"/>
              <w:bottom w:val="single" w:sz="4" w:space="0" w:color="auto"/>
              <w:right w:val="single" w:sz="4" w:space="0" w:color="auto"/>
            </w:tcBorders>
          </w:tcPr>
          <w:p w14:paraId="61947D0E" w14:textId="77777777" w:rsidR="00226537" w:rsidRDefault="00226537" w:rsidP="00F42EDD">
            <w:pPr>
              <w:spacing w:after="0"/>
              <w:rPr>
                <w:rFonts w:ascii="Arial" w:eastAsia="Times New Roman" w:hAnsi="Arial" w:cs="Arial"/>
                <w:b/>
                <w:bCs/>
                <w:color w:val="000000"/>
                <w:sz w:val="16"/>
                <w:szCs w:val="16"/>
                <w:lang w:eastAsia="en-GB"/>
              </w:rPr>
            </w:pPr>
          </w:p>
        </w:tc>
      </w:tr>
      <w:tr w:rsidR="00F9636E" w:rsidRPr="0005260B" w14:paraId="4E209D06" w14:textId="4A3CF534" w:rsidTr="00610FE7">
        <w:trPr>
          <w:trHeight w:val="315"/>
        </w:trPr>
        <w:tc>
          <w:tcPr>
            <w:tcW w:w="1039" w:type="pct"/>
            <w:tcBorders>
              <w:top w:val="nil"/>
              <w:left w:val="single" w:sz="4" w:space="0" w:color="auto"/>
              <w:bottom w:val="nil"/>
              <w:right w:val="single" w:sz="8" w:space="0" w:color="auto"/>
            </w:tcBorders>
            <w:shd w:val="clear" w:color="auto" w:fill="F2F2F2" w:themeFill="background1" w:themeFillShade="F2"/>
            <w:vAlign w:val="center"/>
            <w:hideMark/>
          </w:tcPr>
          <w:p w14:paraId="2EA26AE2"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85" w:type="pct"/>
            <w:vMerge/>
            <w:tcBorders>
              <w:right w:val="single" w:sz="4" w:space="0" w:color="auto"/>
            </w:tcBorders>
            <w:vAlign w:val="center"/>
            <w:hideMark/>
          </w:tcPr>
          <w:p w14:paraId="27EB3F6A"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C7AC9"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13/14</w:t>
            </w:r>
          </w:p>
        </w:tc>
        <w:tc>
          <w:tcPr>
            <w:tcW w:w="348" w:type="pct"/>
            <w:tcBorders>
              <w:top w:val="single" w:sz="4" w:space="0" w:color="auto"/>
              <w:left w:val="single" w:sz="4" w:space="0" w:color="auto"/>
              <w:bottom w:val="single" w:sz="8" w:space="0" w:color="auto"/>
              <w:right w:val="nil"/>
            </w:tcBorders>
            <w:shd w:val="clear" w:color="auto" w:fill="F2F2F2" w:themeFill="background1" w:themeFillShade="F2"/>
            <w:vAlign w:val="center"/>
            <w:hideMark/>
          </w:tcPr>
          <w:p w14:paraId="392F2A1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14/15</w:t>
            </w:r>
          </w:p>
        </w:tc>
        <w:tc>
          <w:tcPr>
            <w:tcW w:w="348"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616F841B"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15/16</w:t>
            </w:r>
          </w:p>
        </w:tc>
        <w:tc>
          <w:tcPr>
            <w:tcW w:w="348"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0E2BFD64"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16/17</w:t>
            </w:r>
          </w:p>
        </w:tc>
        <w:tc>
          <w:tcPr>
            <w:tcW w:w="348"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48A4A94A"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17/18</w:t>
            </w:r>
          </w:p>
        </w:tc>
        <w:tc>
          <w:tcPr>
            <w:tcW w:w="347"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FFF4C0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18/19</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0159C90"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19/20</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4824144F"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20/21</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2B2BE5E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21/22</w:t>
            </w:r>
          </w:p>
        </w:tc>
        <w:tc>
          <w:tcPr>
            <w:tcW w:w="344" w:type="pct"/>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14:paraId="1F97A189" w14:textId="656EBEDB" w:rsidR="00226537" w:rsidRDefault="00226537" w:rsidP="00F9636E">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w:t>
            </w:r>
            <w:r w:rsidR="00BB281D">
              <w:rPr>
                <w:rFonts w:ascii="Arial" w:eastAsia="Times New Roman" w:hAnsi="Arial" w:cs="Arial"/>
                <w:b/>
                <w:bCs/>
                <w:color w:val="000000"/>
                <w:sz w:val="16"/>
                <w:szCs w:val="16"/>
                <w:lang w:eastAsia="en-GB"/>
              </w:rPr>
              <w:t>2</w:t>
            </w:r>
            <w:r>
              <w:rPr>
                <w:rFonts w:ascii="Arial" w:eastAsia="Times New Roman" w:hAnsi="Arial" w:cs="Arial"/>
                <w:b/>
                <w:bCs/>
                <w:color w:val="000000"/>
                <w:sz w:val="16"/>
                <w:szCs w:val="16"/>
                <w:lang w:eastAsia="en-GB"/>
              </w:rPr>
              <w:t>/2</w:t>
            </w:r>
            <w:r w:rsidR="00BB281D">
              <w:rPr>
                <w:rFonts w:ascii="Arial" w:eastAsia="Times New Roman" w:hAnsi="Arial" w:cs="Arial"/>
                <w:b/>
                <w:bCs/>
                <w:color w:val="000000"/>
                <w:sz w:val="16"/>
                <w:szCs w:val="16"/>
                <w:lang w:eastAsia="en-GB"/>
              </w:rPr>
              <w:t>3</w:t>
            </w:r>
          </w:p>
        </w:tc>
      </w:tr>
      <w:tr w:rsidR="00F9636E" w14:paraId="1461349B" w14:textId="120D04E7" w:rsidTr="00610FE7">
        <w:trPr>
          <w:trHeight w:val="315"/>
        </w:trPr>
        <w:tc>
          <w:tcPr>
            <w:tcW w:w="1039" w:type="pct"/>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5434C68C" w14:textId="77777777" w:rsidR="00226537" w:rsidRDefault="00226537"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roofErr w:type="gramStart"/>
            <w:r>
              <w:rPr>
                <w:rFonts w:ascii="Arial" w:eastAsia="Times New Roman" w:hAnsi="Arial" w:cs="Arial"/>
                <w:color w:val="000000"/>
                <w:sz w:val="16"/>
                <w:szCs w:val="16"/>
                <w:lang w:eastAsia="en-GB"/>
              </w:rPr>
              <w:t>refers</w:t>
            </w:r>
            <w:proofErr w:type="gramEnd"/>
            <w:r>
              <w:rPr>
                <w:rFonts w:ascii="Arial" w:eastAsia="Times New Roman" w:hAnsi="Arial" w:cs="Arial"/>
                <w:color w:val="000000"/>
                <w:sz w:val="16"/>
                <w:szCs w:val="16"/>
                <w:lang w:eastAsia="en-GB"/>
              </w:rPr>
              <w:t xml:space="preserve"> to academic year</w:t>
            </w:r>
          </w:p>
        </w:tc>
        <w:tc>
          <w:tcPr>
            <w:tcW w:w="485" w:type="pct"/>
            <w:vMerge/>
            <w:tcBorders>
              <w:bottom w:val="single" w:sz="4" w:space="0" w:color="auto"/>
              <w:right w:val="single" w:sz="4" w:space="0" w:color="auto"/>
            </w:tcBorders>
            <w:vAlign w:val="center"/>
            <w:hideMark/>
          </w:tcPr>
          <w:p w14:paraId="07B1BAC2" w14:textId="77777777" w:rsidR="00226537" w:rsidRDefault="00226537" w:rsidP="00F42EDD">
            <w:pPr>
              <w:spacing w:after="0"/>
              <w:rPr>
                <w:rFonts w:ascii="Arial" w:eastAsia="Times New Roman" w:hAnsi="Arial" w:cs="Arial"/>
                <w:b/>
                <w:bCs/>
                <w:color w:val="000000"/>
                <w:sz w:val="16"/>
                <w:szCs w:val="16"/>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66C68"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3689BA02"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hideMark/>
          </w:tcPr>
          <w:p w14:paraId="5CB1AB9A"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hideMark/>
          </w:tcPr>
          <w:p w14:paraId="27111AB9"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hideMark/>
          </w:tcPr>
          <w:p w14:paraId="563AF4A3"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7" w:type="pct"/>
            <w:tcBorders>
              <w:top w:val="nil"/>
              <w:left w:val="nil"/>
              <w:bottom w:val="single" w:sz="4" w:space="0" w:color="auto"/>
              <w:right w:val="single" w:sz="8" w:space="0" w:color="auto"/>
            </w:tcBorders>
            <w:shd w:val="clear" w:color="auto" w:fill="F2F2F2" w:themeFill="background1" w:themeFillShade="F2"/>
            <w:vAlign w:val="center"/>
            <w:hideMark/>
          </w:tcPr>
          <w:p w14:paraId="2EC7EB5B"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hideMark/>
          </w:tcPr>
          <w:p w14:paraId="469CC93E"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tcPr>
          <w:p w14:paraId="07E1186F"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single" w:sz="4" w:space="0" w:color="auto"/>
              <w:right w:val="single" w:sz="8" w:space="0" w:color="auto"/>
            </w:tcBorders>
            <w:shd w:val="clear" w:color="auto" w:fill="F2F2F2" w:themeFill="background1" w:themeFillShade="F2"/>
            <w:vAlign w:val="center"/>
          </w:tcPr>
          <w:p w14:paraId="617303AF" w14:textId="77777777" w:rsidR="00226537" w:rsidRDefault="00226537"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4" w:type="pct"/>
            <w:tcBorders>
              <w:top w:val="nil"/>
              <w:left w:val="nil"/>
              <w:bottom w:val="single" w:sz="4" w:space="0" w:color="auto"/>
              <w:right w:val="single" w:sz="4" w:space="0" w:color="auto"/>
            </w:tcBorders>
            <w:shd w:val="clear" w:color="auto" w:fill="F2F2F2" w:themeFill="background1" w:themeFillShade="F2"/>
            <w:vAlign w:val="center"/>
          </w:tcPr>
          <w:p w14:paraId="1881BCB4" w14:textId="6BA0A566" w:rsidR="00226537" w:rsidRDefault="001E1169" w:rsidP="000974B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Una</w:t>
            </w:r>
            <w:r w:rsidR="00BA2AFF">
              <w:rPr>
                <w:rFonts w:ascii="Arial" w:eastAsia="Times New Roman" w:hAnsi="Arial" w:cs="Arial"/>
                <w:b/>
                <w:bCs/>
                <w:color w:val="000000"/>
                <w:sz w:val="16"/>
                <w:szCs w:val="16"/>
                <w:lang w:eastAsia="en-GB"/>
              </w:rPr>
              <w:t>vailable</w:t>
            </w:r>
          </w:p>
        </w:tc>
      </w:tr>
      <w:tr w:rsidR="00E91F22" w14:paraId="52A4F5C2" w14:textId="2297A70E" w:rsidTr="005A4895">
        <w:trPr>
          <w:trHeight w:val="450"/>
        </w:trPr>
        <w:tc>
          <w:tcPr>
            <w:tcW w:w="1039" w:type="pct"/>
            <w:tcBorders>
              <w:top w:val="single" w:sz="4" w:space="0" w:color="auto"/>
              <w:left w:val="single" w:sz="4" w:space="0" w:color="auto"/>
              <w:bottom w:val="nil"/>
              <w:right w:val="single" w:sz="4" w:space="0" w:color="auto"/>
            </w:tcBorders>
            <w:vAlign w:val="center"/>
            <w:hideMark/>
          </w:tcPr>
          <w:p w14:paraId="702BE497" w14:textId="77777777" w:rsidR="00E91F22" w:rsidRDefault="00E91F22"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Apprenticeships starts in construction</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D5D3B" w14:textId="1F095093" w:rsidR="00E91F22" w:rsidRPr="005A4895" w:rsidRDefault="00E91F22" w:rsidP="005A4895">
            <w:pPr>
              <w:spacing w:after="0" w:line="240" w:lineRule="auto"/>
              <w:jc w:val="center"/>
              <w:rPr>
                <w:rFonts w:ascii="Arial" w:eastAsia="Times New Roman" w:hAnsi="Arial" w:cs="Arial"/>
                <w:b/>
                <w:bCs/>
                <w:color w:val="000000"/>
                <w:sz w:val="16"/>
                <w:szCs w:val="16"/>
                <w:lang w:eastAsia="en-GB"/>
              </w:rPr>
            </w:pPr>
            <w:r w:rsidRPr="005A4895">
              <w:rPr>
                <w:rFonts w:ascii="Arial" w:eastAsia="Times New Roman" w:hAnsi="Arial" w:cs="Arial"/>
                <w:b/>
                <w:bCs/>
                <w:color w:val="000000"/>
                <w:sz w:val="16"/>
                <w:szCs w:val="16"/>
                <w:lang w:eastAsia="en-GB"/>
              </w:rPr>
              <w:t>N/</w:t>
            </w:r>
            <w:r w:rsidR="005A4895">
              <w:rPr>
                <w:rFonts w:ascii="Arial" w:eastAsia="Times New Roman" w:hAnsi="Arial" w:cs="Arial"/>
                <w:b/>
                <w:bCs/>
                <w:color w:val="000000"/>
                <w:sz w:val="16"/>
                <w:szCs w:val="16"/>
                <w:lang w:eastAsia="en-GB"/>
              </w:rPr>
              <w:t>a</w:t>
            </w:r>
          </w:p>
        </w:tc>
        <w:tc>
          <w:tcPr>
            <w:tcW w:w="348" w:type="pct"/>
            <w:tcBorders>
              <w:top w:val="single" w:sz="4" w:space="0" w:color="auto"/>
              <w:left w:val="single" w:sz="4" w:space="0" w:color="auto"/>
              <w:bottom w:val="nil"/>
              <w:right w:val="single" w:sz="8" w:space="0" w:color="auto"/>
            </w:tcBorders>
            <w:vAlign w:val="center"/>
            <w:hideMark/>
          </w:tcPr>
          <w:p w14:paraId="531E7B52"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single" w:sz="4" w:space="0" w:color="auto"/>
              <w:left w:val="nil"/>
              <w:bottom w:val="nil"/>
              <w:right w:val="single" w:sz="8" w:space="0" w:color="auto"/>
            </w:tcBorders>
            <w:vAlign w:val="center"/>
            <w:hideMark/>
          </w:tcPr>
          <w:p w14:paraId="536DDF4A"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single" w:sz="4" w:space="0" w:color="auto"/>
              <w:left w:val="nil"/>
              <w:bottom w:val="nil"/>
              <w:right w:val="single" w:sz="8" w:space="0" w:color="auto"/>
            </w:tcBorders>
            <w:vAlign w:val="center"/>
            <w:hideMark/>
          </w:tcPr>
          <w:p w14:paraId="391C064E"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single" w:sz="4" w:space="0" w:color="auto"/>
              <w:left w:val="nil"/>
              <w:bottom w:val="nil"/>
              <w:right w:val="single" w:sz="8" w:space="0" w:color="auto"/>
            </w:tcBorders>
            <w:vAlign w:val="center"/>
            <w:hideMark/>
          </w:tcPr>
          <w:p w14:paraId="032AB1CF"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single" w:sz="4" w:space="0" w:color="auto"/>
              <w:left w:val="nil"/>
              <w:bottom w:val="nil"/>
              <w:right w:val="single" w:sz="8" w:space="0" w:color="auto"/>
            </w:tcBorders>
            <w:vAlign w:val="center"/>
            <w:hideMark/>
          </w:tcPr>
          <w:p w14:paraId="17F41304"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7" w:type="pct"/>
            <w:tcBorders>
              <w:top w:val="single" w:sz="4" w:space="0" w:color="auto"/>
              <w:left w:val="nil"/>
              <w:bottom w:val="nil"/>
              <w:right w:val="single" w:sz="8" w:space="0" w:color="auto"/>
            </w:tcBorders>
            <w:vAlign w:val="center"/>
            <w:hideMark/>
          </w:tcPr>
          <w:p w14:paraId="098A3881"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single" w:sz="4" w:space="0" w:color="auto"/>
              <w:left w:val="nil"/>
              <w:bottom w:val="nil"/>
              <w:right w:val="single" w:sz="8" w:space="0" w:color="auto"/>
            </w:tcBorders>
          </w:tcPr>
          <w:p w14:paraId="16A67240"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single" w:sz="4" w:space="0" w:color="auto"/>
              <w:left w:val="nil"/>
              <w:bottom w:val="nil"/>
              <w:right w:val="single" w:sz="8" w:space="0" w:color="auto"/>
            </w:tcBorders>
          </w:tcPr>
          <w:p w14:paraId="0A79BC5F"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single" w:sz="4" w:space="0" w:color="auto"/>
              <w:left w:val="nil"/>
              <w:bottom w:val="nil"/>
              <w:right w:val="single" w:sz="8" w:space="0" w:color="auto"/>
            </w:tcBorders>
          </w:tcPr>
          <w:p w14:paraId="7B3C480C"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4" w:type="pct"/>
            <w:vMerge w:val="restart"/>
            <w:tcBorders>
              <w:top w:val="single" w:sz="4" w:space="0" w:color="auto"/>
              <w:left w:val="nil"/>
              <w:right w:val="single" w:sz="4" w:space="0" w:color="auto"/>
            </w:tcBorders>
            <w:shd w:val="clear" w:color="auto" w:fill="D9D9D9" w:themeFill="background1" w:themeFillShade="D9"/>
            <w:vAlign w:val="center"/>
          </w:tcPr>
          <w:p w14:paraId="2EF0825A" w14:textId="4F80EA47" w:rsidR="00E91F22" w:rsidRDefault="00E91F22" w:rsidP="005A4895">
            <w:pPr>
              <w:spacing w:after="0" w:line="240" w:lineRule="auto"/>
              <w:jc w:val="center"/>
              <w:rPr>
                <w:rFonts w:ascii="Arial" w:eastAsia="Times New Roman" w:hAnsi="Arial" w:cs="Arial"/>
                <w:color w:val="000000"/>
                <w:sz w:val="16"/>
                <w:szCs w:val="16"/>
                <w:lang w:eastAsia="en-GB"/>
              </w:rPr>
            </w:pPr>
            <w:r>
              <w:rPr>
                <w:rFonts w:ascii="Arial" w:eastAsia="Times New Roman" w:hAnsi="Arial" w:cs="Arial"/>
                <w:b/>
                <w:bCs/>
                <w:color w:val="000000"/>
                <w:sz w:val="16"/>
                <w:szCs w:val="16"/>
                <w:lang w:eastAsia="en-GB"/>
              </w:rPr>
              <w:t>N/a</w:t>
            </w:r>
          </w:p>
        </w:tc>
      </w:tr>
      <w:tr w:rsidR="00E91F22" w14:paraId="0C992802" w14:textId="44E52E9C" w:rsidTr="005A4895">
        <w:trPr>
          <w:trHeight w:val="300"/>
        </w:trPr>
        <w:tc>
          <w:tcPr>
            <w:tcW w:w="1039" w:type="pct"/>
            <w:tcBorders>
              <w:top w:val="nil"/>
              <w:left w:val="single" w:sz="4" w:space="0" w:color="auto"/>
              <w:bottom w:val="nil"/>
              <w:right w:val="single" w:sz="4" w:space="0" w:color="auto"/>
            </w:tcBorders>
            <w:vAlign w:val="center"/>
            <w:hideMark/>
          </w:tcPr>
          <w:p w14:paraId="1D7507FE"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0600F" w14:textId="77777777" w:rsidR="00E91F22" w:rsidRDefault="00E91F22"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nil"/>
              <w:right w:val="single" w:sz="8" w:space="0" w:color="auto"/>
            </w:tcBorders>
            <w:vAlign w:val="center"/>
            <w:hideMark/>
          </w:tcPr>
          <w:p w14:paraId="4831EF8C"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3EBFAE5E"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5A912430"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0D262FB0"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0D003C25"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7" w:type="pct"/>
            <w:tcBorders>
              <w:top w:val="nil"/>
              <w:left w:val="nil"/>
              <w:bottom w:val="nil"/>
              <w:right w:val="single" w:sz="8" w:space="0" w:color="auto"/>
            </w:tcBorders>
            <w:vAlign w:val="center"/>
            <w:hideMark/>
          </w:tcPr>
          <w:p w14:paraId="5D101CAC"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tcPr>
          <w:p w14:paraId="4E28EC64"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1301A67A"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415C4A3F" w14:textId="77777777" w:rsidR="00E91F22" w:rsidRDefault="00E91F22" w:rsidP="00F42EDD">
            <w:pPr>
              <w:spacing w:after="0" w:line="240" w:lineRule="auto"/>
              <w:rPr>
                <w:rFonts w:ascii="Arial" w:eastAsia="Times New Roman" w:hAnsi="Arial" w:cs="Arial"/>
                <w:color w:val="000000"/>
                <w:sz w:val="16"/>
                <w:szCs w:val="16"/>
                <w:lang w:eastAsia="en-GB"/>
              </w:rPr>
            </w:pPr>
          </w:p>
        </w:tc>
        <w:tc>
          <w:tcPr>
            <w:tcW w:w="344" w:type="pct"/>
            <w:vMerge/>
            <w:tcBorders>
              <w:left w:val="nil"/>
              <w:right w:val="single" w:sz="4" w:space="0" w:color="auto"/>
            </w:tcBorders>
            <w:shd w:val="clear" w:color="auto" w:fill="D9D9D9" w:themeFill="background1" w:themeFillShade="D9"/>
          </w:tcPr>
          <w:p w14:paraId="273A0066" w14:textId="19DC3A39" w:rsidR="00E91F22" w:rsidRDefault="00E91F22" w:rsidP="00BB281D">
            <w:pPr>
              <w:spacing w:after="0" w:line="240" w:lineRule="auto"/>
              <w:jc w:val="center"/>
              <w:rPr>
                <w:rFonts w:ascii="Arial" w:eastAsia="Times New Roman" w:hAnsi="Arial" w:cs="Arial"/>
                <w:color w:val="000000"/>
                <w:sz w:val="16"/>
                <w:szCs w:val="16"/>
                <w:lang w:eastAsia="en-GB"/>
              </w:rPr>
            </w:pPr>
          </w:p>
        </w:tc>
      </w:tr>
      <w:tr w:rsidR="00E91F22" w14:paraId="44D8BDDC" w14:textId="7960B138" w:rsidTr="005A4895">
        <w:trPr>
          <w:trHeight w:val="1350"/>
        </w:trPr>
        <w:tc>
          <w:tcPr>
            <w:tcW w:w="1039" w:type="pct"/>
            <w:tcBorders>
              <w:top w:val="nil"/>
              <w:left w:val="single" w:sz="4" w:space="0" w:color="auto"/>
              <w:bottom w:val="nil"/>
              <w:right w:val="single" w:sz="4" w:space="0" w:color="auto"/>
            </w:tcBorders>
            <w:vAlign w:val="center"/>
            <w:hideMark/>
          </w:tcPr>
          <w:p w14:paraId="6AA09563" w14:textId="379DFC33"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16-24 year olds residents of Preston and South Ribble who have started an apprenticeship in the construction </w:t>
            </w:r>
            <w:proofErr w:type="gramStart"/>
            <w:r>
              <w:rPr>
                <w:rFonts w:ascii="Arial" w:eastAsia="Times New Roman" w:hAnsi="Arial" w:cs="Arial"/>
                <w:color w:val="000000"/>
                <w:sz w:val="16"/>
                <w:szCs w:val="16"/>
                <w:lang w:eastAsia="en-GB"/>
              </w:rPr>
              <w:t>sector..</w:t>
            </w:r>
            <w:proofErr w:type="gramEnd"/>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FEDCD" w14:textId="77777777" w:rsidR="00E91F22" w:rsidRDefault="00E91F22"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nil"/>
              <w:right w:val="single" w:sz="8" w:space="0" w:color="auto"/>
            </w:tcBorders>
            <w:vAlign w:val="center"/>
            <w:hideMark/>
          </w:tcPr>
          <w:p w14:paraId="05A2AE76"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sz w:val="16"/>
                <w:szCs w:val="16"/>
                <w:lang w:eastAsia="en-GB"/>
              </w:rPr>
              <w:t>101</w:t>
            </w:r>
          </w:p>
        </w:tc>
        <w:tc>
          <w:tcPr>
            <w:tcW w:w="348" w:type="pct"/>
            <w:tcBorders>
              <w:top w:val="nil"/>
              <w:left w:val="nil"/>
              <w:bottom w:val="nil"/>
              <w:right w:val="single" w:sz="8" w:space="0" w:color="auto"/>
            </w:tcBorders>
            <w:vAlign w:val="center"/>
            <w:hideMark/>
          </w:tcPr>
          <w:p w14:paraId="4D0BA84D"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133</w:t>
            </w:r>
          </w:p>
        </w:tc>
        <w:tc>
          <w:tcPr>
            <w:tcW w:w="348" w:type="pct"/>
            <w:tcBorders>
              <w:top w:val="nil"/>
              <w:left w:val="nil"/>
              <w:bottom w:val="nil"/>
              <w:right w:val="single" w:sz="8" w:space="0" w:color="auto"/>
            </w:tcBorders>
            <w:vAlign w:val="center"/>
            <w:hideMark/>
          </w:tcPr>
          <w:p w14:paraId="53447E18"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120</w:t>
            </w:r>
          </w:p>
        </w:tc>
        <w:tc>
          <w:tcPr>
            <w:tcW w:w="348" w:type="pct"/>
            <w:tcBorders>
              <w:top w:val="nil"/>
              <w:left w:val="nil"/>
              <w:bottom w:val="nil"/>
              <w:right w:val="single" w:sz="8" w:space="0" w:color="auto"/>
            </w:tcBorders>
            <w:vAlign w:val="center"/>
            <w:hideMark/>
          </w:tcPr>
          <w:p w14:paraId="05A63CAF"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132</w:t>
            </w:r>
          </w:p>
        </w:tc>
        <w:tc>
          <w:tcPr>
            <w:tcW w:w="348" w:type="pct"/>
            <w:tcBorders>
              <w:top w:val="nil"/>
              <w:left w:val="nil"/>
              <w:bottom w:val="nil"/>
              <w:right w:val="single" w:sz="8" w:space="0" w:color="auto"/>
            </w:tcBorders>
            <w:vAlign w:val="center"/>
            <w:hideMark/>
          </w:tcPr>
          <w:p w14:paraId="5572B082"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124</w:t>
            </w:r>
          </w:p>
        </w:tc>
        <w:tc>
          <w:tcPr>
            <w:tcW w:w="347" w:type="pct"/>
            <w:tcBorders>
              <w:top w:val="nil"/>
              <w:left w:val="nil"/>
              <w:bottom w:val="nil"/>
              <w:right w:val="single" w:sz="8" w:space="0" w:color="auto"/>
            </w:tcBorders>
            <w:vAlign w:val="center"/>
            <w:hideMark/>
          </w:tcPr>
          <w:p w14:paraId="2BEA4824"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113</w:t>
            </w:r>
          </w:p>
        </w:tc>
        <w:tc>
          <w:tcPr>
            <w:tcW w:w="348" w:type="pct"/>
            <w:tcBorders>
              <w:top w:val="nil"/>
              <w:left w:val="nil"/>
              <w:bottom w:val="nil"/>
              <w:right w:val="single" w:sz="8" w:space="0" w:color="auto"/>
            </w:tcBorders>
          </w:tcPr>
          <w:p w14:paraId="55DE498B"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4BB849BD"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77F1B53E"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0EC306B5"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124</w:t>
            </w:r>
          </w:p>
        </w:tc>
        <w:tc>
          <w:tcPr>
            <w:tcW w:w="348" w:type="pct"/>
            <w:tcBorders>
              <w:top w:val="nil"/>
              <w:left w:val="nil"/>
              <w:bottom w:val="nil"/>
              <w:right w:val="single" w:sz="8" w:space="0" w:color="auto"/>
            </w:tcBorders>
          </w:tcPr>
          <w:p w14:paraId="6AE518E8"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71F95D3C"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067AC8CD"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2F7619A5"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140</w:t>
            </w:r>
          </w:p>
        </w:tc>
        <w:tc>
          <w:tcPr>
            <w:tcW w:w="348" w:type="pct"/>
            <w:tcBorders>
              <w:top w:val="nil"/>
              <w:left w:val="nil"/>
              <w:bottom w:val="nil"/>
              <w:right w:val="single" w:sz="8" w:space="0" w:color="auto"/>
            </w:tcBorders>
          </w:tcPr>
          <w:p w14:paraId="60C2991E"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24790D5C"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530246C1"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p>
          <w:p w14:paraId="19614D22" w14:textId="77777777" w:rsidR="00E91F22" w:rsidRPr="00C80691" w:rsidRDefault="00E91F22" w:rsidP="00F42EDD">
            <w:pPr>
              <w:spacing w:after="0" w:line="240" w:lineRule="auto"/>
              <w:jc w:val="right"/>
              <w:rPr>
                <w:rFonts w:ascii="Arial" w:eastAsia="Times New Roman" w:hAnsi="Arial" w:cs="Arial"/>
                <w:b/>
                <w:bCs/>
                <w:color w:val="000000"/>
                <w:sz w:val="16"/>
                <w:szCs w:val="16"/>
                <w:lang w:eastAsia="en-GB"/>
              </w:rPr>
            </w:pPr>
            <w:r w:rsidRPr="00C80691">
              <w:rPr>
                <w:rFonts w:ascii="Arial" w:eastAsia="Times New Roman" w:hAnsi="Arial" w:cs="Arial"/>
                <w:b/>
                <w:bCs/>
                <w:color w:val="000000" w:themeColor="text1"/>
                <w:sz w:val="16"/>
                <w:szCs w:val="16"/>
                <w:lang w:eastAsia="en-GB"/>
              </w:rPr>
              <w:t>170</w:t>
            </w:r>
          </w:p>
        </w:tc>
        <w:tc>
          <w:tcPr>
            <w:tcW w:w="344" w:type="pct"/>
            <w:vMerge/>
            <w:tcBorders>
              <w:left w:val="nil"/>
              <w:right w:val="single" w:sz="4" w:space="0" w:color="auto"/>
            </w:tcBorders>
            <w:shd w:val="clear" w:color="auto" w:fill="D9D9D9" w:themeFill="background1" w:themeFillShade="D9"/>
            <w:vAlign w:val="center"/>
          </w:tcPr>
          <w:p w14:paraId="0D7B98C0" w14:textId="466E7898" w:rsidR="00E91F22" w:rsidRPr="00C80691" w:rsidRDefault="00E91F22" w:rsidP="00BB281D">
            <w:pPr>
              <w:spacing w:after="0" w:line="240" w:lineRule="auto"/>
              <w:jc w:val="center"/>
              <w:rPr>
                <w:rFonts w:ascii="Arial" w:eastAsia="Times New Roman" w:hAnsi="Arial" w:cs="Arial"/>
                <w:b/>
                <w:bCs/>
                <w:color w:val="000000"/>
                <w:sz w:val="16"/>
                <w:szCs w:val="16"/>
                <w:lang w:eastAsia="en-GB"/>
              </w:rPr>
            </w:pPr>
          </w:p>
        </w:tc>
      </w:tr>
      <w:tr w:rsidR="00E91F22" w14:paraId="74305857" w14:textId="5F056038" w:rsidTr="005A4895">
        <w:trPr>
          <w:trHeight w:val="690"/>
        </w:trPr>
        <w:tc>
          <w:tcPr>
            <w:tcW w:w="1039" w:type="pct"/>
            <w:tcBorders>
              <w:top w:val="nil"/>
              <w:left w:val="single" w:sz="4" w:space="0" w:color="auto"/>
              <w:bottom w:val="single" w:sz="4" w:space="0" w:color="auto"/>
              <w:right w:val="single" w:sz="4" w:space="0" w:color="auto"/>
            </w:tcBorders>
            <w:vAlign w:val="center"/>
            <w:hideMark/>
          </w:tcPr>
          <w:p w14:paraId="49F876B7" w14:textId="77777777" w:rsidR="00E91F22" w:rsidRDefault="00E91F22"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Source: Preston's College, Runshaw College and T2000 / ESFA </w:t>
            </w:r>
            <w:proofErr w:type="spellStart"/>
            <w:r>
              <w:rPr>
                <w:rFonts w:ascii="Arial" w:eastAsia="Times New Roman" w:hAnsi="Arial" w:cs="Arial"/>
                <w:color w:val="000000"/>
                <w:sz w:val="16"/>
                <w:szCs w:val="16"/>
                <w:lang w:eastAsia="en-GB"/>
              </w:rPr>
              <w:t>DataCube</w:t>
            </w:r>
            <w:proofErr w:type="spellEnd"/>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F237E" w14:textId="77777777" w:rsidR="00E91F22" w:rsidRDefault="00E91F22"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single" w:sz="4" w:space="0" w:color="auto"/>
              <w:right w:val="single" w:sz="8" w:space="0" w:color="auto"/>
            </w:tcBorders>
            <w:vAlign w:val="center"/>
            <w:hideMark/>
          </w:tcPr>
          <w:p w14:paraId="003190E3"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08900E77"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19878EFA"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0084C0F7"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single" w:sz="4" w:space="0" w:color="auto"/>
              <w:right w:val="single" w:sz="8" w:space="0" w:color="auto"/>
            </w:tcBorders>
            <w:vAlign w:val="center"/>
            <w:hideMark/>
          </w:tcPr>
          <w:p w14:paraId="7FEB7824"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7" w:type="pct"/>
            <w:tcBorders>
              <w:top w:val="nil"/>
              <w:left w:val="nil"/>
              <w:bottom w:val="single" w:sz="4" w:space="0" w:color="auto"/>
              <w:right w:val="single" w:sz="8" w:space="0" w:color="auto"/>
            </w:tcBorders>
            <w:vAlign w:val="center"/>
            <w:hideMark/>
          </w:tcPr>
          <w:p w14:paraId="076CEC50" w14:textId="77777777" w:rsidR="00E91F22" w:rsidRPr="00102534" w:rsidRDefault="00E91F22"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single" w:sz="4" w:space="0" w:color="auto"/>
              <w:right w:val="single" w:sz="8" w:space="0" w:color="auto"/>
            </w:tcBorders>
          </w:tcPr>
          <w:p w14:paraId="78B27D9E" w14:textId="77777777" w:rsidR="00E91F22" w:rsidRPr="00102534"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single" w:sz="4" w:space="0" w:color="auto"/>
              <w:right w:val="single" w:sz="8" w:space="0" w:color="auto"/>
            </w:tcBorders>
          </w:tcPr>
          <w:p w14:paraId="728A1E51" w14:textId="77777777" w:rsidR="00E91F22" w:rsidRPr="00102534" w:rsidRDefault="00E91F22"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single" w:sz="4" w:space="0" w:color="auto"/>
              <w:right w:val="single" w:sz="8" w:space="0" w:color="auto"/>
            </w:tcBorders>
          </w:tcPr>
          <w:p w14:paraId="37B9F673" w14:textId="77777777" w:rsidR="00E91F22" w:rsidRPr="00102534" w:rsidRDefault="00E91F22" w:rsidP="00F42EDD">
            <w:pPr>
              <w:spacing w:after="0" w:line="240" w:lineRule="auto"/>
              <w:rPr>
                <w:rFonts w:ascii="Arial" w:eastAsia="Times New Roman" w:hAnsi="Arial" w:cs="Arial"/>
                <w:color w:val="000000"/>
                <w:sz w:val="16"/>
                <w:szCs w:val="16"/>
                <w:lang w:eastAsia="en-GB"/>
              </w:rPr>
            </w:pPr>
          </w:p>
        </w:tc>
        <w:tc>
          <w:tcPr>
            <w:tcW w:w="344" w:type="pct"/>
            <w:vMerge/>
            <w:tcBorders>
              <w:left w:val="nil"/>
              <w:bottom w:val="single" w:sz="4" w:space="0" w:color="auto"/>
              <w:right w:val="single" w:sz="4" w:space="0" w:color="auto"/>
            </w:tcBorders>
            <w:shd w:val="clear" w:color="auto" w:fill="D9D9D9" w:themeFill="background1" w:themeFillShade="D9"/>
          </w:tcPr>
          <w:p w14:paraId="6C491EDB" w14:textId="77777777" w:rsidR="00E91F22" w:rsidRPr="00102534" w:rsidRDefault="00E91F22" w:rsidP="00F42EDD">
            <w:pPr>
              <w:spacing w:after="0" w:line="240" w:lineRule="auto"/>
              <w:rPr>
                <w:rFonts w:ascii="Arial" w:eastAsia="Times New Roman" w:hAnsi="Arial" w:cs="Arial"/>
                <w:color w:val="000000"/>
                <w:sz w:val="16"/>
                <w:szCs w:val="16"/>
                <w:lang w:eastAsia="en-GB"/>
              </w:rPr>
            </w:pPr>
          </w:p>
        </w:tc>
      </w:tr>
      <w:tr w:rsidR="00226537" w14:paraId="61FE69E0" w14:textId="459E3C37" w:rsidTr="00610FE7">
        <w:trPr>
          <w:trHeight w:val="293"/>
        </w:trPr>
        <w:tc>
          <w:tcPr>
            <w:tcW w:w="4656" w:type="pct"/>
            <w:gridSpan w:val="11"/>
            <w:tcBorders>
              <w:top w:val="single" w:sz="4" w:space="0" w:color="auto"/>
              <w:left w:val="single" w:sz="4" w:space="0" w:color="auto"/>
              <w:bottom w:val="single" w:sz="4" w:space="0" w:color="auto"/>
              <w:right w:val="single" w:sz="8" w:space="0" w:color="auto"/>
            </w:tcBorders>
            <w:vAlign w:val="center"/>
          </w:tcPr>
          <w:p w14:paraId="7DB9F524" w14:textId="3A29C39C" w:rsidR="00226537" w:rsidRPr="00102534" w:rsidRDefault="009F531A"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Please </w:t>
            </w:r>
            <w:proofErr w:type="gramStart"/>
            <w:r>
              <w:rPr>
                <w:rFonts w:ascii="Arial" w:eastAsia="Times New Roman" w:hAnsi="Arial" w:cs="Arial"/>
                <w:color w:val="000000"/>
                <w:sz w:val="16"/>
                <w:szCs w:val="16"/>
                <w:lang w:eastAsia="en-GB"/>
              </w:rPr>
              <w:t>note:</w:t>
            </w:r>
            <w:proofErr w:type="gramEnd"/>
            <w:r>
              <w:rPr>
                <w:rFonts w:ascii="Arial" w:eastAsia="Times New Roman" w:hAnsi="Arial" w:cs="Arial"/>
                <w:color w:val="000000"/>
                <w:sz w:val="16"/>
                <w:szCs w:val="16"/>
                <w:lang w:eastAsia="en-GB"/>
              </w:rPr>
              <w:t xml:space="preserve"> data for previous years has been issued via </w:t>
            </w:r>
            <w:r w:rsidRPr="0014065E">
              <w:rPr>
                <w:rFonts w:ascii="Arial" w:eastAsia="Times New Roman" w:hAnsi="Arial" w:cs="Arial"/>
                <w:color w:val="000000"/>
                <w:sz w:val="16"/>
                <w:szCs w:val="16"/>
                <w:lang w:eastAsia="en-GB"/>
              </w:rPr>
              <w:t xml:space="preserve">ESFA </w:t>
            </w:r>
            <w:proofErr w:type="spellStart"/>
            <w:r w:rsidRPr="0014065E">
              <w:rPr>
                <w:rFonts w:ascii="Arial" w:eastAsia="Times New Roman" w:hAnsi="Arial" w:cs="Arial"/>
                <w:color w:val="000000"/>
                <w:sz w:val="16"/>
                <w:szCs w:val="16"/>
                <w:lang w:eastAsia="en-GB"/>
              </w:rPr>
              <w:t>DataCube</w:t>
            </w:r>
            <w:proofErr w:type="spellEnd"/>
            <w:r>
              <w:rPr>
                <w:rFonts w:ascii="Arial" w:eastAsia="Times New Roman" w:hAnsi="Arial" w:cs="Arial"/>
                <w:color w:val="000000"/>
                <w:sz w:val="16"/>
                <w:szCs w:val="16"/>
                <w:lang w:eastAsia="en-GB"/>
              </w:rPr>
              <w:t>, which is no longer available</w:t>
            </w:r>
          </w:p>
        </w:tc>
        <w:tc>
          <w:tcPr>
            <w:tcW w:w="344" w:type="pct"/>
            <w:tcBorders>
              <w:top w:val="single" w:sz="4" w:space="0" w:color="auto"/>
              <w:left w:val="single" w:sz="8" w:space="0" w:color="auto"/>
              <w:bottom w:val="single" w:sz="4" w:space="0" w:color="auto"/>
              <w:right w:val="single" w:sz="4" w:space="0" w:color="auto"/>
            </w:tcBorders>
          </w:tcPr>
          <w:p w14:paraId="6278D847" w14:textId="77777777" w:rsidR="00226537" w:rsidRDefault="00226537" w:rsidP="00F42EDD">
            <w:pPr>
              <w:spacing w:after="0" w:line="240" w:lineRule="auto"/>
              <w:rPr>
                <w:rFonts w:ascii="Arial" w:eastAsia="Times New Roman" w:hAnsi="Arial" w:cs="Arial"/>
                <w:color w:val="000000"/>
                <w:sz w:val="16"/>
                <w:szCs w:val="16"/>
                <w:lang w:eastAsia="en-GB"/>
              </w:rPr>
            </w:pPr>
          </w:p>
        </w:tc>
      </w:tr>
    </w:tbl>
    <w:p w14:paraId="299FB796" w14:textId="77777777" w:rsidR="00A33F18" w:rsidRDefault="00A33F18" w:rsidP="00656EEC">
      <w:pPr>
        <w:spacing w:after="160"/>
        <w:jc w:val="both"/>
        <w:rPr>
          <w:rFonts w:ascii="Arial" w:hAnsi="Arial" w:cs="Arial"/>
          <w:sz w:val="24"/>
          <w:szCs w:val="24"/>
        </w:rPr>
      </w:pPr>
    </w:p>
    <w:p w14:paraId="7FBBFF93" w14:textId="2E9A7987" w:rsidR="00C01C10" w:rsidRPr="008C14FA" w:rsidRDefault="008C14FA" w:rsidP="008C14FA">
      <w:pPr>
        <w:spacing w:after="160"/>
        <w:rPr>
          <w:rFonts w:ascii="Arial" w:hAnsi="Arial" w:cs="Arial"/>
          <w:b/>
          <w:sz w:val="24"/>
          <w:szCs w:val="24"/>
        </w:rPr>
      </w:pPr>
      <w:r w:rsidRPr="00545AFA">
        <w:rPr>
          <w:rFonts w:ascii="Arial" w:hAnsi="Arial" w:cs="Arial"/>
          <w:b/>
          <w:noProof/>
          <w:sz w:val="24"/>
          <w:szCs w:val="24"/>
          <w:shd w:val="clear" w:color="auto" w:fill="BFBFBF" w:themeFill="background1" w:themeFillShade="BF"/>
        </w:rPr>
        <w:lastRenderedPageBreak/>
        <w:drawing>
          <wp:inline distT="0" distB="0" distL="0" distR="0" wp14:anchorId="7734F2BA" wp14:editId="299739C1">
            <wp:extent cx="5915770" cy="2997642"/>
            <wp:effectExtent l="0" t="0" r="889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B57B8B" w14:textId="7969F78B" w:rsidR="002065DA" w:rsidRDefault="0047182A" w:rsidP="00AD0120">
      <w:pPr>
        <w:pStyle w:val="ListParagraph"/>
        <w:numPr>
          <w:ilvl w:val="0"/>
          <w:numId w:val="10"/>
        </w:numPr>
        <w:spacing w:after="160"/>
        <w:jc w:val="both"/>
        <w:rPr>
          <w:rFonts w:ascii="Arial" w:hAnsi="Arial" w:cs="Arial"/>
          <w:sz w:val="24"/>
          <w:szCs w:val="24"/>
        </w:rPr>
      </w:pPr>
      <w:r>
        <w:rPr>
          <w:rFonts w:ascii="Arial" w:hAnsi="Arial" w:cs="Arial"/>
          <w:sz w:val="24"/>
          <w:szCs w:val="24"/>
        </w:rPr>
        <w:t xml:space="preserve">The number of </w:t>
      </w:r>
      <w:r w:rsidRPr="0047182A">
        <w:rPr>
          <w:rFonts w:ascii="Arial" w:hAnsi="Arial" w:cs="Arial"/>
          <w:sz w:val="24"/>
          <w:szCs w:val="24"/>
        </w:rPr>
        <w:t xml:space="preserve">Apprenticeship starts for </w:t>
      </w:r>
      <w:proofErr w:type="gramStart"/>
      <w:r w:rsidRPr="0047182A">
        <w:rPr>
          <w:rFonts w:ascii="Arial" w:hAnsi="Arial" w:cs="Arial"/>
          <w:sz w:val="24"/>
          <w:szCs w:val="24"/>
        </w:rPr>
        <w:t>16-24 year olds</w:t>
      </w:r>
      <w:proofErr w:type="gramEnd"/>
      <w:r w:rsidRPr="0047182A">
        <w:rPr>
          <w:rFonts w:ascii="Arial" w:hAnsi="Arial" w:cs="Arial"/>
          <w:sz w:val="24"/>
          <w:szCs w:val="24"/>
        </w:rPr>
        <w:t xml:space="preserve"> in Construction</w:t>
      </w:r>
      <w:r>
        <w:rPr>
          <w:rFonts w:ascii="Arial" w:hAnsi="Arial" w:cs="Arial"/>
          <w:sz w:val="24"/>
          <w:szCs w:val="24"/>
        </w:rPr>
        <w:t xml:space="preserve"> has grown </w:t>
      </w:r>
      <w:r w:rsidR="00596D6A">
        <w:rPr>
          <w:rFonts w:ascii="Arial" w:hAnsi="Arial" w:cs="Arial"/>
          <w:sz w:val="24"/>
          <w:szCs w:val="24"/>
        </w:rPr>
        <w:t xml:space="preserve">substantially throughout the City Deal Programme period, with 101 in 2013/14, reaching 170 in 2021/22. This is the highest number </w:t>
      </w:r>
      <w:r w:rsidR="00686053">
        <w:rPr>
          <w:rFonts w:ascii="Arial" w:hAnsi="Arial" w:cs="Arial"/>
          <w:sz w:val="24"/>
          <w:szCs w:val="24"/>
        </w:rPr>
        <w:t>in any of the years with recorded data</w:t>
      </w:r>
      <w:r w:rsidR="004C42D5">
        <w:rPr>
          <w:rFonts w:ascii="Arial" w:hAnsi="Arial" w:cs="Arial"/>
          <w:sz w:val="24"/>
          <w:szCs w:val="24"/>
        </w:rPr>
        <w:t xml:space="preserve">, having grown by 68% since the baseline position. </w:t>
      </w:r>
      <w:r w:rsidR="00686053">
        <w:rPr>
          <w:rFonts w:ascii="Arial" w:hAnsi="Arial" w:cs="Arial"/>
          <w:sz w:val="24"/>
          <w:szCs w:val="24"/>
        </w:rPr>
        <w:t xml:space="preserve"> </w:t>
      </w:r>
    </w:p>
    <w:p w14:paraId="12965EDA" w14:textId="77777777" w:rsidR="002065DA" w:rsidRDefault="002065DA" w:rsidP="002065DA">
      <w:pPr>
        <w:pStyle w:val="ListParagraph"/>
        <w:spacing w:after="160"/>
        <w:jc w:val="both"/>
        <w:rPr>
          <w:rFonts w:ascii="Arial" w:hAnsi="Arial" w:cs="Arial"/>
          <w:sz w:val="24"/>
          <w:szCs w:val="24"/>
        </w:rPr>
      </w:pPr>
    </w:p>
    <w:p w14:paraId="5A68E687" w14:textId="5B260A95" w:rsidR="002549E3" w:rsidRDefault="003540C6" w:rsidP="00AD0120">
      <w:pPr>
        <w:pStyle w:val="ListParagraph"/>
        <w:numPr>
          <w:ilvl w:val="0"/>
          <w:numId w:val="10"/>
        </w:numPr>
        <w:spacing w:after="160"/>
        <w:jc w:val="both"/>
        <w:rPr>
          <w:rFonts w:ascii="Arial" w:hAnsi="Arial" w:cs="Arial"/>
          <w:sz w:val="24"/>
          <w:szCs w:val="24"/>
        </w:rPr>
      </w:pPr>
      <w:r>
        <w:rPr>
          <w:rFonts w:ascii="Arial" w:hAnsi="Arial" w:cs="Arial"/>
          <w:sz w:val="24"/>
          <w:szCs w:val="24"/>
        </w:rPr>
        <w:t>Unfortunately,</w:t>
      </w:r>
      <w:r w:rsidR="00686053">
        <w:rPr>
          <w:rFonts w:ascii="Arial" w:hAnsi="Arial" w:cs="Arial"/>
          <w:sz w:val="24"/>
          <w:szCs w:val="24"/>
        </w:rPr>
        <w:t xml:space="preserve"> d</w:t>
      </w:r>
      <w:r w:rsidR="002549E3">
        <w:rPr>
          <w:rFonts w:ascii="Arial" w:hAnsi="Arial" w:cs="Arial"/>
          <w:sz w:val="24"/>
          <w:szCs w:val="24"/>
        </w:rPr>
        <w:t xml:space="preserve">ata for 2022/23 is no longer provided through the </w:t>
      </w:r>
      <w:r w:rsidR="00CC4CFC">
        <w:rPr>
          <w:rFonts w:ascii="Arial" w:hAnsi="Arial" w:cs="Arial"/>
          <w:sz w:val="24"/>
          <w:szCs w:val="24"/>
        </w:rPr>
        <w:t xml:space="preserve">EFSA </w:t>
      </w:r>
      <w:proofErr w:type="spellStart"/>
      <w:r w:rsidR="002549E3">
        <w:rPr>
          <w:rFonts w:ascii="Arial" w:hAnsi="Arial" w:cs="Arial"/>
          <w:sz w:val="24"/>
          <w:szCs w:val="24"/>
        </w:rPr>
        <w:t>Datacube</w:t>
      </w:r>
      <w:proofErr w:type="spellEnd"/>
      <w:r w:rsidR="003A15FC">
        <w:rPr>
          <w:rFonts w:ascii="Arial" w:hAnsi="Arial" w:cs="Arial"/>
          <w:sz w:val="24"/>
          <w:szCs w:val="24"/>
        </w:rPr>
        <w:t xml:space="preserve"> in the same format</w:t>
      </w:r>
      <w:r w:rsidR="009268E9">
        <w:rPr>
          <w:rFonts w:ascii="Arial" w:hAnsi="Arial" w:cs="Arial"/>
          <w:sz w:val="24"/>
          <w:szCs w:val="24"/>
        </w:rPr>
        <w:t xml:space="preserve">. The dataset does not </w:t>
      </w:r>
      <w:r w:rsidR="00F76689">
        <w:rPr>
          <w:rFonts w:ascii="Arial" w:hAnsi="Arial" w:cs="Arial"/>
          <w:sz w:val="24"/>
          <w:szCs w:val="24"/>
        </w:rPr>
        <w:t xml:space="preserve">include </w:t>
      </w:r>
      <w:r w:rsidR="005C329C">
        <w:rPr>
          <w:rFonts w:ascii="Arial" w:hAnsi="Arial" w:cs="Arial"/>
          <w:sz w:val="24"/>
          <w:szCs w:val="24"/>
        </w:rPr>
        <w:t xml:space="preserve">breakdown by Age and </w:t>
      </w:r>
      <w:r w:rsidR="009268E9">
        <w:rPr>
          <w:rFonts w:ascii="Arial" w:hAnsi="Arial" w:cs="Arial"/>
          <w:sz w:val="24"/>
          <w:szCs w:val="24"/>
        </w:rPr>
        <w:t>provider and</w:t>
      </w:r>
      <w:r w:rsidR="003A15FC">
        <w:rPr>
          <w:rFonts w:ascii="Arial" w:hAnsi="Arial" w:cs="Arial"/>
          <w:sz w:val="24"/>
          <w:szCs w:val="24"/>
        </w:rPr>
        <w:t xml:space="preserve"> is</w:t>
      </w:r>
      <w:r w:rsidR="009268E9">
        <w:rPr>
          <w:rFonts w:ascii="Arial" w:hAnsi="Arial" w:cs="Arial"/>
          <w:sz w:val="24"/>
          <w:szCs w:val="24"/>
        </w:rPr>
        <w:t xml:space="preserve"> there</w:t>
      </w:r>
      <w:r w:rsidR="00F55AD0">
        <w:rPr>
          <w:rFonts w:ascii="Arial" w:hAnsi="Arial" w:cs="Arial"/>
          <w:sz w:val="24"/>
          <w:szCs w:val="24"/>
        </w:rPr>
        <w:t xml:space="preserve">fore </w:t>
      </w:r>
      <w:r w:rsidR="009268E9">
        <w:rPr>
          <w:rFonts w:ascii="Arial" w:hAnsi="Arial" w:cs="Arial"/>
          <w:sz w:val="24"/>
          <w:szCs w:val="24"/>
        </w:rPr>
        <w:t>incomparable with</w:t>
      </w:r>
      <w:r w:rsidR="00F55AD0">
        <w:rPr>
          <w:rFonts w:ascii="Arial" w:hAnsi="Arial" w:cs="Arial"/>
          <w:sz w:val="24"/>
          <w:szCs w:val="24"/>
        </w:rPr>
        <w:t xml:space="preserve"> the previous data series.</w:t>
      </w:r>
      <w:r w:rsidR="009268E9">
        <w:rPr>
          <w:rFonts w:ascii="Arial" w:hAnsi="Arial" w:cs="Arial"/>
          <w:sz w:val="24"/>
          <w:szCs w:val="24"/>
        </w:rPr>
        <w:t xml:space="preserve"> </w:t>
      </w:r>
    </w:p>
    <w:p w14:paraId="270CD981" w14:textId="77777777" w:rsidR="009F3A2E" w:rsidRPr="009F3A2E" w:rsidRDefault="009F3A2E" w:rsidP="009F3A2E">
      <w:pPr>
        <w:pStyle w:val="ListParagraph"/>
        <w:rPr>
          <w:rFonts w:ascii="Arial" w:hAnsi="Arial" w:cs="Arial"/>
          <w:sz w:val="24"/>
          <w:szCs w:val="24"/>
        </w:rPr>
      </w:pPr>
    </w:p>
    <w:p w14:paraId="6A99BDA2" w14:textId="4DC36AD5" w:rsidR="009F3A2E" w:rsidRDefault="005C329C" w:rsidP="00AD0120">
      <w:pPr>
        <w:pStyle w:val="ListParagraph"/>
        <w:numPr>
          <w:ilvl w:val="0"/>
          <w:numId w:val="10"/>
        </w:numPr>
        <w:spacing w:after="160"/>
        <w:jc w:val="both"/>
        <w:rPr>
          <w:rFonts w:ascii="Arial" w:hAnsi="Arial" w:cs="Arial"/>
          <w:sz w:val="24"/>
          <w:szCs w:val="24"/>
        </w:rPr>
      </w:pPr>
      <w:r>
        <w:rPr>
          <w:rFonts w:ascii="Arial" w:hAnsi="Arial" w:cs="Arial"/>
          <w:sz w:val="24"/>
          <w:szCs w:val="24"/>
        </w:rPr>
        <w:t>As a positive, t</w:t>
      </w:r>
      <w:r w:rsidR="009F3A2E">
        <w:rPr>
          <w:rFonts w:ascii="Arial" w:hAnsi="Arial" w:cs="Arial"/>
          <w:sz w:val="24"/>
          <w:szCs w:val="24"/>
        </w:rPr>
        <w:t xml:space="preserve">he </w:t>
      </w:r>
      <w:r w:rsidR="00D37817">
        <w:rPr>
          <w:rFonts w:ascii="Arial" w:hAnsi="Arial" w:cs="Arial"/>
          <w:sz w:val="24"/>
          <w:szCs w:val="24"/>
        </w:rPr>
        <w:t>long-term</w:t>
      </w:r>
      <w:r w:rsidR="009F3A2E">
        <w:rPr>
          <w:rFonts w:ascii="Arial" w:hAnsi="Arial" w:cs="Arial"/>
          <w:sz w:val="24"/>
          <w:szCs w:val="24"/>
        </w:rPr>
        <w:t xml:space="preserve"> trend for</w:t>
      </w:r>
      <w:r w:rsidR="00387E6C">
        <w:rPr>
          <w:rFonts w:ascii="Arial" w:hAnsi="Arial" w:cs="Arial"/>
          <w:sz w:val="24"/>
          <w:szCs w:val="24"/>
        </w:rPr>
        <w:t xml:space="preserve"> </w:t>
      </w:r>
      <w:r w:rsidR="00F85718">
        <w:rPr>
          <w:rFonts w:ascii="Arial" w:hAnsi="Arial" w:cs="Arial"/>
          <w:sz w:val="24"/>
          <w:szCs w:val="24"/>
        </w:rPr>
        <w:t>Construction</w:t>
      </w:r>
      <w:r w:rsidR="009F3A2E">
        <w:rPr>
          <w:rFonts w:ascii="Arial" w:hAnsi="Arial" w:cs="Arial"/>
          <w:sz w:val="24"/>
          <w:szCs w:val="24"/>
        </w:rPr>
        <w:t xml:space="preserve"> Apprenticeship starts over the period</w:t>
      </w:r>
      <w:r w:rsidR="00387E6C">
        <w:rPr>
          <w:rFonts w:ascii="Arial" w:hAnsi="Arial" w:cs="Arial"/>
          <w:sz w:val="24"/>
          <w:szCs w:val="24"/>
        </w:rPr>
        <w:t xml:space="preserve"> </w:t>
      </w:r>
      <w:r w:rsidR="00E8316F">
        <w:rPr>
          <w:rFonts w:ascii="Arial" w:hAnsi="Arial" w:cs="Arial"/>
          <w:sz w:val="24"/>
          <w:szCs w:val="24"/>
        </w:rPr>
        <w:t>ha</w:t>
      </w:r>
      <w:r w:rsidR="00387E6C">
        <w:rPr>
          <w:rFonts w:ascii="Arial" w:hAnsi="Arial" w:cs="Arial"/>
          <w:sz w:val="24"/>
          <w:szCs w:val="24"/>
        </w:rPr>
        <w:t xml:space="preserve">s </w:t>
      </w:r>
      <w:r w:rsidR="009B5C21">
        <w:rPr>
          <w:rFonts w:ascii="Arial" w:hAnsi="Arial" w:cs="Arial"/>
          <w:sz w:val="24"/>
          <w:szCs w:val="24"/>
        </w:rPr>
        <w:t xml:space="preserve">outperformed </w:t>
      </w:r>
      <w:r w:rsidR="00F85718">
        <w:rPr>
          <w:rFonts w:ascii="Arial" w:hAnsi="Arial" w:cs="Arial"/>
          <w:sz w:val="24"/>
          <w:szCs w:val="24"/>
        </w:rPr>
        <w:t>non-</w:t>
      </w:r>
      <w:r w:rsidR="00EB2E20">
        <w:rPr>
          <w:rFonts w:ascii="Arial" w:hAnsi="Arial" w:cs="Arial"/>
          <w:sz w:val="24"/>
          <w:szCs w:val="24"/>
        </w:rPr>
        <w:t>C</w:t>
      </w:r>
      <w:r w:rsidR="00F85718">
        <w:rPr>
          <w:rFonts w:ascii="Arial" w:hAnsi="Arial" w:cs="Arial"/>
          <w:sz w:val="24"/>
          <w:szCs w:val="24"/>
        </w:rPr>
        <w:t xml:space="preserve">onstruction Apprenticeships </w:t>
      </w:r>
      <w:r w:rsidR="00B36ADA">
        <w:rPr>
          <w:rFonts w:ascii="Arial" w:hAnsi="Arial" w:cs="Arial"/>
          <w:sz w:val="24"/>
          <w:szCs w:val="24"/>
        </w:rPr>
        <w:t xml:space="preserve">identified in the following data set. </w:t>
      </w:r>
      <w:r>
        <w:rPr>
          <w:rFonts w:ascii="Arial" w:hAnsi="Arial" w:cs="Arial"/>
          <w:sz w:val="24"/>
          <w:szCs w:val="24"/>
        </w:rPr>
        <w:t xml:space="preserve">The growth in young people accessing </w:t>
      </w:r>
      <w:r w:rsidR="009B5C21">
        <w:rPr>
          <w:rFonts w:ascii="Arial" w:hAnsi="Arial" w:cs="Arial"/>
          <w:sz w:val="24"/>
          <w:szCs w:val="24"/>
        </w:rPr>
        <w:t xml:space="preserve">Construction </w:t>
      </w:r>
      <w:r>
        <w:rPr>
          <w:rFonts w:ascii="Arial" w:hAnsi="Arial" w:cs="Arial"/>
          <w:sz w:val="24"/>
          <w:szCs w:val="24"/>
        </w:rPr>
        <w:t xml:space="preserve">Apprenticeships locally is an extremely positive trend </w:t>
      </w:r>
      <w:r w:rsidR="009B5C21">
        <w:rPr>
          <w:rFonts w:ascii="Arial" w:hAnsi="Arial" w:cs="Arial"/>
          <w:sz w:val="24"/>
          <w:szCs w:val="24"/>
        </w:rPr>
        <w:t xml:space="preserve">over the </w:t>
      </w:r>
      <w:r w:rsidR="00B961DC">
        <w:rPr>
          <w:rFonts w:ascii="Arial" w:hAnsi="Arial" w:cs="Arial"/>
          <w:sz w:val="24"/>
          <w:szCs w:val="24"/>
        </w:rPr>
        <w:t>City Deal Programme</w:t>
      </w:r>
      <w:r w:rsidR="00D15EA9">
        <w:rPr>
          <w:rFonts w:ascii="Arial" w:hAnsi="Arial" w:cs="Arial"/>
          <w:sz w:val="24"/>
          <w:szCs w:val="24"/>
        </w:rPr>
        <w:t>.</w:t>
      </w:r>
    </w:p>
    <w:p w14:paraId="130B9326" w14:textId="77777777" w:rsidR="003540C6" w:rsidRPr="003540C6" w:rsidRDefault="003540C6" w:rsidP="003540C6">
      <w:pPr>
        <w:pStyle w:val="ListParagraph"/>
        <w:rPr>
          <w:rFonts w:ascii="Arial" w:hAnsi="Arial" w:cs="Arial"/>
          <w:sz w:val="24"/>
          <w:szCs w:val="24"/>
        </w:rPr>
      </w:pPr>
    </w:p>
    <w:p w14:paraId="263D2B3A" w14:textId="027FB4CC" w:rsidR="00182A1B" w:rsidRDefault="002317E9" w:rsidP="002C623C">
      <w:pPr>
        <w:spacing w:after="160"/>
        <w:rPr>
          <w:rFonts w:ascii="Arial" w:hAnsi="Arial" w:cs="Arial"/>
          <w:i/>
          <w:iCs/>
          <w:sz w:val="24"/>
          <w:szCs w:val="24"/>
        </w:rPr>
      </w:pPr>
      <w:r>
        <w:rPr>
          <w:rFonts w:ascii="Arial" w:hAnsi="Arial" w:cs="Arial"/>
          <w:i/>
          <w:iCs/>
          <w:sz w:val="24"/>
          <w:szCs w:val="24"/>
        </w:rPr>
        <w:t>2</w:t>
      </w:r>
      <w:r w:rsidR="00AD2530" w:rsidRPr="002C623C">
        <w:rPr>
          <w:rFonts w:ascii="Arial" w:hAnsi="Arial" w:cs="Arial"/>
          <w:i/>
          <w:iCs/>
          <w:sz w:val="24"/>
          <w:szCs w:val="24"/>
        </w:rPr>
        <w:t xml:space="preserve">.1.2 </w:t>
      </w:r>
      <w:r w:rsidR="00182A1B" w:rsidRPr="002C623C">
        <w:rPr>
          <w:rFonts w:ascii="Arial" w:hAnsi="Arial" w:cs="Arial"/>
          <w:i/>
          <w:iCs/>
          <w:sz w:val="24"/>
          <w:szCs w:val="24"/>
        </w:rPr>
        <w:t>Apprenticeship starts in all subjects</w:t>
      </w:r>
      <w:r w:rsidR="00C9141A" w:rsidRPr="002C623C">
        <w:rPr>
          <w:rFonts w:ascii="Arial" w:hAnsi="Arial" w:cs="Arial"/>
          <w:i/>
          <w:iCs/>
          <w:sz w:val="24"/>
          <w:szCs w:val="24"/>
        </w:rPr>
        <w:t xml:space="preserve"> for </w:t>
      </w:r>
      <w:proofErr w:type="gramStart"/>
      <w:r w:rsidR="00C9141A" w:rsidRPr="002C623C">
        <w:rPr>
          <w:rFonts w:ascii="Arial" w:hAnsi="Arial" w:cs="Arial"/>
          <w:i/>
          <w:iCs/>
          <w:sz w:val="24"/>
          <w:szCs w:val="24"/>
        </w:rPr>
        <w:t>16-24 year olds</w:t>
      </w:r>
      <w:proofErr w:type="gramEnd"/>
      <w:r w:rsidR="00C9141A" w:rsidRPr="002C623C">
        <w:rPr>
          <w:rFonts w:ascii="Arial" w:hAnsi="Arial" w:cs="Arial"/>
          <w:i/>
          <w:iCs/>
          <w:sz w:val="24"/>
          <w:szCs w:val="24"/>
        </w:rPr>
        <w:t xml:space="preserve"> (excluding</w:t>
      </w:r>
      <w:r w:rsidR="00792580">
        <w:rPr>
          <w:rFonts w:ascii="Arial" w:hAnsi="Arial" w:cs="Arial"/>
          <w:i/>
          <w:iCs/>
          <w:sz w:val="24"/>
          <w:szCs w:val="24"/>
        </w:rPr>
        <w:t xml:space="preserve"> </w:t>
      </w:r>
      <w:r w:rsidR="00C9141A" w:rsidRPr="002C623C">
        <w:rPr>
          <w:rFonts w:ascii="Arial" w:hAnsi="Arial" w:cs="Arial"/>
          <w:i/>
          <w:iCs/>
          <w:sz w:val="24"/>
          <w:szCs w:val="24"/>
        </w:rPr>
        <w:t>Construction)</w:t>
      </w:r>
    </w:p>
    <w:p w14:paraId="7847B99E" w14:textId="72A8D57D" w:rsidR="00840E38" w:rsidRDefault="00840E38" w:rsidP="002C623C">
      <w:pPr>
        <w:spacing w:after="160"/>
        <w:rPr>
          <w:rFonts w:ascii="Arial" w:hAnsi="Arial" w:cs="Arial"/>
          <w:i/>
          <w:iCs/>
          <w:sz w:val="24"/>
          <w:szCs w:val="24"/>
        </w:rPr>
      </w:pPr>
    </w:p>
    <w:p w14:paraId="52130D54" w14:textId="3FF31F2A" w:rsidR="00840E38" w:rsidRDefault="00840E38">
      <w:pPr>
        <w:rPr>
          <w:rFonts w:ascii="Arial" w:hAnsi="Arial" w:cs="Arial"/>
          <w:i/>
          <w:iCs/>
          <w:sz w:val="24"/>
          <w:szCs w:val="24"/>
        </w:rPr>
      </w:pPr>
      <w:r>
        <w:rPr>
          <w:rFonts w:ascii="Arial" w:hAnsi="Arial" w:cs="Arial"/>
          <w:i/>
          <w:iCs/>
          <w:sz w:val="24"/>
          <w:szCs w:val="24"/>
        </w:rPr>
        <w:br w:type="page"/>
      </w:r>
    </w:p>
    <w:p w14:paraId="6CFF6B51" w14:textId="77777777" w:rsidR="00840E38" w:rsidRDefault="00840E38" w:rsidP="002C623C">
      <w:pPr>
        <w:spacing w:after="160"/>
        <w:rPr>
          <w:rFonts w:ascii="Arial" w:hAnsi="Arial" w:cs="Arial"/>
          <w:i/>
          <w:iCs/>
          <w:sz w:val="24"/>
          <w:szCs w:val="24"/>
        </w:rPr>
      </w:pPr>
    </w:p>
    <w:tbl>
      <w:tblPr>
        <w:tblW w:w="5658" w:type="pct"/>
        <w:tblLayout w:type="fixed"/>
        <w:tblLook w:val="04A0" w:firstRow="1" w:lastRow="0" w:firstColumn="1" w:lastColumn="0" w:noHBand="0" w:noVBand="1"/>
      </w:tblPr>
      <w:tblGrid>
        <w:gridCol w:w="2116"/>
        <w:gridCol w:w="988"/>
        <w:gridCol w:w="709"/>
        <w:gridCol w:w="710"/>
        <w:gridCol w:w="710"/>
        <w:gridCol w:w="710"/>
        <w:gridCol w:w="708"/>
        <w:gridCol w:w="710"/>
        <w:gridCol w:w="710"/>
        <w:gridCol w:w="710"/>
        <w:gridCol w:w="712"/>
        <w:gridCol w:w="704"/>
      </w:tblGrid>
      <w:tr w:rsidR="000974BF" w14:paraId="65EB4CBB" w14:textId="045693E8" w:rsidTr="00374A94">
        <w:trPr>
          <w:trHeight w:val="300"/>
        </w:trPr>
        <w:tc>
          <w:tcPr>
            <w:tcW w:w="1038" w:type="pct"/>
            <w:tcBorders>
              <w:top w:val="single" w:sz="8" w:space="0" w:color="auto"/>
              <w:left w:val="single" w:sz="8" w:space="0" w:color="auto"/>
              <w:bottom w:val="nil"/>
              <w:right w:val="single" w:sz="8" w:space="0" w:color="auto"/>
            </w:tcBorders>
            <w:shd w:val="clear" w:color="auto" w:fill="F2F2F2" w:themeFill="background1" w:themeFillShade="F2"/>
            <w:vAlign w:val="center"/>
            <w:hideMark/>
          </w:tcPr>
          <w:p w14:paraId="363482E6"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485" w:type="pct"/>
            <w:tcBorders>
              <w:top w:val="single" w:sz="8" w:space="0" w:color="auto"/>
              <w:left w:val="nil"/>
              <w:bottom w:val="nil"/>
              <w:right w:val="single" w:sz="4" w:space="0" w:color="auto"/>
            </w:tcBorders>
            <w:shd w:val="clear" w:color="auto" w:fill="F2F2F2" w:themeFill="background1" w:themeFillShade="F2"/>
            <w:vAlign w:val="center"/>
            <w:hideMark/>
          </w:tcPr>
          <w:p w14:paraId="178E77FD"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DF4D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C76E7D"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Yr.2 </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E6B80E"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Yr.3 </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2FDAAA"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Yr.4</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45CAF"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Yr.5*</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496DE"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Yr.6</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C8EB4"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Yr.7</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B50E1"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Yr.8</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A9822"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Yr.9</w:t>
            </w:r>
          </w:p>
        </w:tc>
        <w:tc>
          <w:tcPr>
            <w:tcW w:w="345"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874E940" w14:textId="1F170843" w:rsidR="000974BF" w:rsidRDefault="000974BF" w:rsidP="000974B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Yr.10</w:t>
            </w:r>
          </w:p>
        </w:tc>
      </w:tr>
      <w:tr w:rsidR="000974BF" w14:paraId="2DF40FCC" w14:textId="4E1F01C7" w:rsidTr="00374A94">
        <w:trPr>
          <w:trHeight w:val="351"/>
        </w:trPr>
        <w:tc>
          <w:tcPr>
            <w:tcW w:w="1038" w:type="pct"/>
            <w:tcBorders>
              <w:top w:val="nil"/>
              <w:left w:val="single" w:sz="8" w:space="0" w:color="auto"/>
              <w:bottom w:val="nil"/>
              <w:right w:val="single" w:sz="8" w:space="0" w:color="auto"/>
            </w:tcBorders>
            <w:shd w:val="clear" w:color="auto" w:fill="F2F2F2" w:themeFill="background1" w:themeFillShade="F2"/>
            <w:vAlign w:val="center"/>
            <w:hideMark/>
          </w:tcPr>
          <w:p w14:paraId="0EEB8FDB"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85" w:type="pct"/>
            <w:vMerge w:val="restart"/>
            <w:tcBorders>
              <w:top w:val="nil"/>
              <w:left w:val="single" w:sz="8" w:space="0" w:color="auto"/>
              <w:bottom w:val="single" w:sz="8" w:space="0" w:color="000000" w:themeColor="text1"/>
              <w:right w:val="single" w:sz="4" w:space="0" w:color="auto"/>
            </w:tcBorders>
            <w:shd w:val="clear" w:color="auto" w:fill="F2F2F2" w:themeFill="background1" w:themeFillShade="F2"/>
            <w:vAlign w:val="center"/>
            <w:hideMark/>
          </w:tcPr>
          <w:p w14:paraId="7DFA89F0" w14:textId="77777777" w:rsidR="000974BF" w:rsidRDefault="000974BF" w:rsidP="00F42EDD">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0F8AC409"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598F4CE2"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69855C1B"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3C2B6820" w14:textId="77777777" w:rsidR="000974BF" w:rsidRDefault="000974BF" w:rsidP="00F42EDD">
            <w:pPr>
              <w:spacing w:after="0"/>
              <w:rPr>
                <w:rFonts w:ascii="Arial" w:eastAsia="Times New Roman" w:hAnsi="Arial" w:cs="Arial"/>
                <w:b/>
                <w:bCs/>
                <w:color w:val="000000"/>
                <w:sz w:val="16"/>
                <w:szCs w:val="16"/>
                <w:lang w:eastAsia="en-GB"/>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14:paraId="6846782D"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727D4D68"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4C0F80AC"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09C823EC"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vMerge/>
            <w:tcBorders>
              <w:top w:val="single" w:sz="4" w:space="0" w:color="auto"/>
              <w:left w:val="single" w:sz="4" w:space="0" w:color="auto"/>
              <w:bottom w:val="single" w:sz="4" w:space="0" w:color="auto"/>
              <w:right w:val="single" w:sz="4" w:space="0" w:color="auto"/>
            </w:tcBorders>
            <w:vAlign w:val="center"/>
          </w:tcPr>
          <w:p w14:paraId="5E16DB9D" w14:textId="77777777" w:rsidR="000974BF" w:rsidRDefault="000974BF" w:rsidP="00F42EDD">
            <w:pPr>
              <w:spacing w:after="0"/>
              <w:rPr>
                <w:rFonts w:ascii="Arial" w:eastAsia="Times New Roman" w:hAnsi="Arial" w:cs="Arial"/>
                <w:b/>
                <w:bCs/>
                <w:color w:val="000000"/>
                <w:sz w:val="16"/>
                <w:szCs w:val="16"/>
                <w:lang w:eastAsia="en-GB"/>
              </w:rPr>
            </w:pPr>
          </w:p>
        </w:tc>
        <w:tc>
          <w:tcPr>
            <w:tcW w:w="345" w:type="pct"/>
            <w:vMerge/>
            <w:tcBorders>
              <w:left w:val="single" w:sz="4" w:space="0" w:color="auto"/>
              <w:bottom w:val="single" w:sz="4" w:space="0" w:color="auto"/>
              <w:right w:val="single" w:sz="4" w:space="0" w:color="auto"/>
            </w:tcBorders>
          </w:tcPr>
          <w:p w14:paraId="169400BE" w14:textId="77777777" w:rsidR="000974BF" w:rsidRDefault="000974BF" w:rsidP="00F42EDD">
            <w:pPr>
              <w:spacing w:after="0"/>
              <w:rPr>
                <w:rFonts w:ascii="Arial" w:eastAsia="Times New Roman" w:hAnsi="Arial" w:cs="Arial"/>
                <w:b/>
                <w:bCs/>
                <w:color w:val="000000"/>
                <w:sz w:val="16"/>
                <w:szCs w:val="16"/>
                <w:lang w:eastAsia="en-GB"/>
              </w:rPr>
            </w:pPr>
          </w:p>
        </w:tc>
      </w:tr>
      <w:tr w:rsidR="000974BF" w:rsidRPr="0005260B" w14:paraId="3B97E21F" w14:textId="1BD6E28F" w:rsidTr="00374A94">
        <w:trPr>
          <w:trHeight w:val="315"/>
        </w:trPr>
        <w:tc>
          <w:tcPr>
            <w:tcW w:w="1038" w:type="pct"/>
            <w:tcBorders>
              <w:top w:val="nil"/>
              <w:left w:val="single" w:sz="8" w:space="0" w:color="auto"/>
              <w:bottom w:val="nil"/>
              <w:right w:val="single" w:sz="8" w:space="0" w:color="auto"/>
            </w:tcBorders>
            <w:shd w:val="clear" w:color="auto" w:fill="F2F2F2" w:themeFill="background1" w:themeFillShade="F2"/>
            <w:vAlign w:val="center"/>
            <w:hideMark/>
          </w:tcPr>
          <w:p w14:paraId="070EBEF5"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485" w:type="pct"/>
            <w:vMerge/>
            <w:tcBorders>
              <w:right w:val="single" w:sz="4" w:space="0" w:color="auto"/>
            </w:tcBorders>
            <w:vAlign w:val="center"/>
            <w:hideMark/>
          </w:tcPr>
          <w:p w14:paraId="5BC0792C"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F5615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13/14</w:t>
            </w:r>
          </w:p>
        </w:tc>
        <w:tc>
          <w:tcPr>
            <w:tcW w:w="348" w:type="pct"/>
            <w:tcBorders>
              <w:top w:val="single" w:sz="4" w:space="0" w:color="auto"/>
              <w:left w:val="single" w:sz="4" w:space="0" w:color="auto"/>
              <w:bottom w:val="single" w:sz="8" w:space="0" w:color="auto"/>
              <w:right w:val="nil"/>
            </w:tcBorders>
            <w:shd w:val="clear" w:color="auto" w:fill="F2F2F2" w:themeFill="background1" w:themeFillShade="F2"/>
            <w:vAlign w:val="center"/>
            <w:hideMark/>
          </w:tcPr>
          <w:p w14:paraId="3DA4A7C4"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14/15</w:t>
            </w:r>
          </w:p>
        </w:tc>
        <w:tc>
          <w:tcPr>
            <w:tcW w:w="348"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70C4DD86"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15/16</w:t>
            </w:r>
          </w:p>
        </w:tc>
        <w:tc>
          <w:tcPr>
            <w:tcW w:w="348"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4B734DE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16/17</w:t>
            </w:r>
          </w:p>
        </w:tc>
        <w:tc>
          <w:tcPr>
            <w:tcW w:w="347" w:type="pct"/>
            <w:tcBorders>
              <w:top w:val="single" w:sz="4" w:space="0" w:color="auto"/>
              <w:left w:val="single" w:sz="8" w:space="0" w:color="auto"/>
              <w:bottom w:val="single" w:sz="8" w:space="0" w:color="auto"/>
              <w:right w:val="nil"/>
            </w:tcBorders>
            <w:shd w:val="clear" w:color="auto" w:fill="F2F2F2" w:themeFill="background1" w:themeFillShade="F2"/>
            <w:vAlign w:val="center"/>
            <w:hideMark/>
          </w:tcPr>
          <w:p w14:paraId="21813479"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17/18</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4C6C259"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18/19</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81AB99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19/20</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044F5118"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20/21</w:t>
            </w:r>
          </w:p>
        </w:tc>
        <w:tc>
          <w:tcPr>
            <w:tcW w:w="348"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71E6BAC4"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21/22</w:t>
            </w:r>
          </w:p>
        </w:tc>
        <w:tc>
          <w:tcPr>
            <w:tcW w:w="345" w:type="pct"/>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1DBE3821" w14:textId="7C00B5DC" w:rsidR="000974BF" w:rsidRDefault="000974BF" w:rsidP="000974BF">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22/23</w:t>
            </w:r>
          </w:p>
        </w:tc>
      </w:tr>
      <w:tr w:rsidR="000974BF" w14:paraId="0DCCE471" w14:textId="0F0AC3D0" w:rsidTr="00374A94">
        <w:trPr>
          <w:trHeight w:val="315"/>
        </w:trPr>
        <w:tc>
          <w:tcPr>
            <w:tcW w:w="1038"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4CCA8EE9" w14:textId="77777777" w:rsidR="000974BF" w:rsidRDefault="000974BF"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roofErr w:type="gramStart"/>
            <w:r>
              <w:rPr>
                <w:rFonts w:ascii="Arial" w:eastAsia="Times New Roman" w:hAnsi="Arial" w:cs="Arial"/>
                <w:color w:val="000000"/>
                <w:sz w:val="16"/>
                <w:szCs w:val="16"/>
                <w:lang w:eastAsia="en-GB"/>
              </w:rPr>
              <w:t>refers</w:t>
            </w:r>
            <w:proofErr w:type="gramEnd"/>
            <w:r>
              <w:rPr>
                <w:rFonts w:ascii="Arial" w:eastAsia="Times New Roman" w:hAnsi="Arial" w:cs="Arial"/>
                <w:color w:val="000000"/>
                <w:sz w:val="16"/>
                <w:szCs w:val="16"/>
                <w:lang w:eastAsia="en-GB"/>
              </w:rPr>
              <w:t xml:space="preserve"> to academic year</w:t>
            </w:r>
          </w:p>
        </w:tc>
        <w:tc>
          <w:tcPr>
            <w:tcW w:w="485" w:type="pct"/>
            <w:vMerge/>
            <w:tcBorders>
              <w:bottom w:val="single" w:sz="4" w:space="0" w:color="auto"/>
              <w:right w:val="single" w:sz="4" w:space="0" w:color="auto"/>
            </w:tcBorders>
            <w:vAlign w:val="center"/>
            <w:hideMark/>
          </w:tcPr>
          <w:p w14:paraId="11D95DB5" w14:textId="77777777" w:rsidR="000974BF" w:rsidRDefault="000974BF" w:rsidP="00F42EDD">
            <w:pPr>
              <w:spacing w:after="0"/>
              <w:rPr>
                <w:rFonts w:ascii="Arial" w:eastAsia="Times New Roman" w:hAnsi="Arial" w:cs="Arial"/>
                <w:b/>
                <w:bCs/>
                <w:color w:val="000000"/>
                <w:sz w:val="16"/>
                <w:szCs w:val="16"/>
                <w:lang w:eastAsia="en-GB"/>
              </w:rPr>
            </w:pP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ECB328"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single" w:sz="4" w:space="0" w:color="auto"/>
              <w:bottom w:val="nil"/>
              <w:right w:val="single" w:sz="8" w:space="0" w:color="auto"/>
            </w:tcBorders>
            <w:shd w:val="clear" w:color="auto" w:fill="F2F2F2" w:themeFill="background1" w:themeFillShade="F2"/>
            <w:vAlign w:val="center"/>
            <w:hideMark/>
          </w:tcPr>
          <w:p w14:paraId="45A1ED88"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hideMark/>
          </w:tcPr>
          <w:p w14:paraId="702258BD"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hideMark/>
          </w:tcPr>
          <w:p w14:paraId="70B33EC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7" w:type="pct"/>
            <w:tcBorders>
              <w:top w:val="nil"/>
              <w:left w:val="nil"/>
              <w:bottom w:val="nil"/>
              <w:right w:val="single" w:sz="8" w:space="0" w:color="auto"/>
            </w:tcBorders>
            <w:shd w:val="clear" w:color="auto" w:fill="F2F2F2" w:themeFill="background1" w:themeFillShade="F2"/>
            <w:vAlign w:val="center"/>
            <w:hideMark/>
          </w:tcPr>
          <w:p w14:paraId="277D06EE"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hideMark/>
          </w:tcPr>
          <w:p w14:paraId="027FA4D1"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hideMark/>
          </w:tcPr>
          <w:p w14:paraId="75E29CEC"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tcPr>
          <w:p w14:paraId="11AAF004"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8" w:type="pct"/>
            <w:tcBorders>
              <w:top w:val="nil"/>
              <w:left w:val="nil"/>
              <w:bottom w:val="nil"/>
              <w:right w:val="single" w:sz="8" w:space="0" w:color="auto"/>
            </w:tcBorders>
            <w:shd w:val="clear" w:color="auto" w:fill="F2F2F2" w:themeFill="background1" w:themeFillShade="F2"/>
            <w:vAlign w:val="center"/>
          </w:tcPr>
          <w:p w14:paraId="65C6919B" w14:textId="77777777" w:rsidR="000974BF" w:rsidRDefault="000974BF"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45" w:type="pct"/>
            <w:tcBorders>
              <w:top w:val="nil"/>
              <w:left w:val="nil"/>
              <w:bottom w:val="nil"/>
              <w:right w:val="single" w:sz="8" w:space="0" w:color="auto"/>
            </w:tcBorders>
            <w:shd w:val="clear" w:color="auto" w:fill="F2F2F2" w:themeFill="background1" w:themeFillShade="F2"/>
          </w:tcPr>
          <w:p w14:paraId="2B06A974" w14:textId="3533F356" w:rsidR="000974BF" w:rsidRDefault="00374A94" w:rsidP="00F42EDD">
            <w:pPr>
              <w:spacing w:after="0" w:line="240" w:lineRule="auto"/>
              <w:rPr>
                <w:rFonts w:ascii="Arial" w:eastAsia="Times New Roman" w:hAnsi="Arial" w:cs="Arial"/>
                <w:b/>
                <w:bCs/>
                <w:color w:val="000000"/>
                <w:sz w:val="16"/>
                <w:szCs w:val="16"/>
                <w:lang w:eastAsia="en-GB"/>
              </w:rPr>
            </w:pPr>
            <w:r w:rsidRPr="00374A94">
              <w:rPr>
                <w:rFonts w:ascii="Arial" w:eastAsia="Times New Roman" w:hAnsi="Arial" w:cs="Arial"/>
                <w:b/>
                <w:bCs/>
                <w:color w:val="000000"/>
                <w:sz w:val="16"/>
                <w:szCs w:val="16"/>
                <w:lang w:eastAsia="en-GB"/>
              </w:rPr>
              <w:t>Unavailable</w:t>
            </w:r>
          </w:p>
        </w:tc>
      </w:tr>
      <w:tr w:rsidR="00374A94" w14:paraId="5DCBD039" w14:textId="43AFF7BB" w:rsidTr="004E4B15">
        <w:trPr>
          <w:trHeight w:val="450"/>
        </w:trPr>
        <w:tc>
          <w:tcPr>
            <w:tcW w:w="1038" w:type="pct"/>
            <w:tcBorders>
              <w:top w:val="nil"/>
              <w:left w:val="single" w:sz="8" w:space="0" w:color="auto"/>
              <w:bottom w:val="nil"/>
              <w:right w:val="single" w:sz="4" w:space="0" w:color="auto"/>
            </w:tcBorders>
            <w:vAlign w:val="center"/>
            <w:hideMark/>
          </w:tcPr>
          <w:p w14:paraId="6E717835" w14:textId="77777777" w:rsidR="00374A94" w:rsidRDefault="00374A94" w:rsidP="00F42EDD">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Apprenticeship starts in all subjects</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D8783" w14:textId="77777777" w:rsidR="00374A94" w:rsidRDefault="00374A94" w:rsidP="00F42EDD">
            <w:pPr>
              <w:spacing w:after="0" w:line="240" w:lineRule="auto"/>
              <w:jc w:val="right"/>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w:t>
            </w:r>
          </w:p>
        </w:tc>
        <w:tc>
          <w:tcPr>
            <w:tcW w:w="348" w:type="pct"/>
            <w:tcBorders>
              <w:top w:val="nil"/>
              <w:left w:val="single" w:sz="4" w:space="0" w:color="auto"/>
              <w:bottom w:val="nil"/>
              <w:right w:val="single" w:sz="8" w:space="0" w:color="auto"/>
            </w:tcBorders>
            <w:vAlign w:val="center"/>
            <w:hideMark/>
          </w:tcPr>
          <w:p w14:paraId="11E4629E"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01A7F974"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24199782"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04D60AD5"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7" w:type="pct"/>
            <w:tcBorders>
              <w:top w:val="nil"/>
              <w:left w:val="nil"/>
              <w:bottom w:val="nil"/>
              <w:right w:val="single" w:sz="8" w:space="0" w:color="auto"/>
            </w:tcBorders>
            <w:vAlign w:val="center"/>
            <w:hideMark/>
          </w:tcPr>
          <w:p w14:paraId="226A39A0"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nil"/>
              <w:right w:val="single" w:sz="8" w:space="0" w:color="auto"/>
            </w:tcBorders>
            <w:vAlign w:val="center"/>
            <w:hideMark/>
          </w:tcPr>
          <w:p w14:paraId="60317FB5"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nil"/>
              <w:right w:val="single" w:sz="8" w:space="0" w:color="auto"/>
            </w:tcBorders>
          </w:tcPr>
          <w:p w14:paraId="65FD3D5F" w14:textId="77777777" w:rsidR="00374A94" w:rsidRPr="0010253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3F285C59" w14:textId="77777777" w:rsidR="00374A94" w:rsidRPr="0010253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0A6B9F52" w14:textId="77777777" w:rsidR="00374A94" w:rsidRPr="00102534" w:rsidRDefault="00374A94" w:rsidP="00F42EDD">
            <w:pPr>
              <w:spacing w:after="0" w:line="240" w:lineRule="auto"/>
              <w:rPr>
                <w:rFonts w:ascii="Arial" w:eastAsia="Times New Roman" w:hAnsi="Arial" w:cs="Arial"/>
                <w:color w:val="000000"/>
                <w:sz w:val="16"/>
                <w:szCs w:val="16"/>
                <w:lang w:eastAsia="en-GB"/>
              </w:rPr>
            </w:pPr>
          </w:p>
        </w:tc>
        <w:tc>
          <w:tcPr>
            <w:tcW w:w="345" w:type="pct"/>
            <w:vMerge w:val="restart"/>
            <w:tcBorders>
              <w:top w:val="nil"/>
              <w:left w:val="nil"/>
              <w:right w:val="single" w:sz="8" w:space="0" w:color="auto"/>
            </w:tcBorders>
            <w:shd w:val="clear" w:color="auto" w:fill="D9D9D9" w:themeFill="background1" w:themeFillShade="D9"/>
            <w:vAlign w:val="center"/>
          </w:tcPr>
          <w:p w14:paraId="50BF9CDF" w14:textId="143A2280" w:rsidR="00374A94" w:rsidRPr="00102534" w:rsidRDefault="00374A94" w:rsidP="00374A94">
            <w:pPr>
              <w:spacing w:after="0" w:line="240" w:lineRule="auto"/>
              <w:jc w:val="cente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N/a</w:t>
            </w:r>
          </w:p>
        </w:tc>
      </w:tr>
      <w:tr w:rsidR="00374A94" w14:paraId="423E1FF3" w14:textId="5060B725" w:rsidTr="004E4B15">
        <w:trPr>
          <w:trHeight w:val="300"/>
        </w:trPr>
        <w:tc>
          <w:tcPr>
            <w:tcW w:w="1038" w:type="pct"/>
            <w:tcBorders>
              <w:top w:val="nil"/>
              <w:left w:val="single" w:sz="8" w:space="0" w:color="auto"/>
              <w:bottom w:val="nil"/>
              <w:right w:val="single" w:sz="4" w:space="0" w:color="auto"/>
            </w:tcBorders>
            <w:vAlign w:val="center"/>
            <w:hideMark/>
          </w:tcPr>
          <w:p w14:paraId="6F0006D3" w14:textId="77777777" w:rsidR="00374A94" w:rsidRDefault="00374A94" w:rsidP="00F42EDD">
            <w:pPr>
              <w:spacing w:after="0" w:line="240" w:lineRule="auto"/>
              <w:rPr>
                <w:rFonts w:ascii="Arial" w:eastAsia="Times New Roman" w:hAnsi="Arial" w:cs="Arial"/>
                <w:color w:val="000000"/>
                <w:sz w:val="16"/>
                <w:szCs w:val="16"/>
                <w:lang w:eastAsia="en-GB"/>
              </w:rPr>
            </w:pPr>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12D0F9" w14:textId="77777777" w:rsidR="00374A94" w:rsidRDefault="00374A94"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nil"/>
              <w:right w:val="single" w:sz="8" w:space="0" w:color="auto"/>
            </w:tcBorders>
            <w:vAlign w:val="center"/>
            <w:hideMark/>
          </w:tcPr>
          <w:p w14:paraId="3FE7D845"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3C6093A0"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600C42AE"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sz w:val="16"/>
                <w:szCs w:val="16"/>
                <w:lang w:eastAsia="en-GB"/>
              </w:rPr>
              <w:t> </w:t>
            </w:r>
          </w:p>
        </w:tc>
        <w:tc>
          <w:tcPr>
            <w:tcW w:w="348" w:type="pct"/>
            <w:tcBorders>
              <w:top w:val="nil"/>
              <w:left w:val="nil"/>
              <w:bottom w:val="nil"/>
              <w:right w:val="single" w:sz="8" w:space="0" w:color="auto"/>
            </w:tcBorders>
            <w:vAlign w:val="center"/>
            <w:hideMark/>
          </w:tcPr>
          <w:p w14:paraId="5166FA15"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7" w:type="pct"/>
            <w:tcBorders>
              <w:top w:val="nil"/>
              <w:left w:val="nil"/>
              <w:bottom w:val="nil"/>
              <w:right w:val="single" w:sz="8" w:space="0" w:color="auto"/>
            </w:tcBorders>
            <w:vAlign w:val="center"/>
            <w:hideMark/>
          </w:tcPr>
          <w:p w14:paraId="7694CE8B"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nil"/>
              <w:right w:val="single" w:sz="8" w:space="0" w:color="auto"/>
            </w:tcBorders>
            <w:vAlign w:val="center"/>
            <w:hideMark/>
          </w:tcPr>
          <w:p w14:paraId="45C49F4F" w14:textId="77777777" w:rsidR="00374A94" w:rsidRPr="00102534" w:rsidRDefault="00374A94" w:rsidP="00F42EDD">
            <w:pPr>
              <w:spacing w:after="0" w:line="240" w:lineRule="auto"/>
              <w:rPr>
                <w:rFonts w:ascii="Arial" w:eastAsia="Times New Roman" w:hAnsi="Arial" w:cs="Arial"/>
                <w:color w:val="000000"/>
                <w:sz w:val="16"/>
                <w:szCs w:val="16"/>
                <w:lang w:eastAsia="en-GB"/>
              </w:rPr>
            </w:pPr>
            <w:r w:rsidRPr="00102534">
              <w:rPr>
                <w:rFonts w:ascii="Arial" w:eastAsia="Times New Roman" w:hAnsi="Arial" w:cs="Arial"/>
                <w:color w:val="000000" w:themeColor="text1"/>
                <w:sz w:val="16"/>
                <w:szCs w:val="16"/>
                <w:lang w:eastAsia="en-GB"/>
              </w:rPr>
              <w:t> </w:t>
            </w:r>
          </w:p>
        </w:tc>
        <w:tc>
          <w:tcPr>
            <w:tcW w:w="348" w:type="pct"/>
            <w:tcBorders>
              <w:top w:val="nil"/>
              <w:left w:val="nil"/>
              <w:bottom w:val="nil"/>
              <w:right w:val="single" w:sz="8" w:space="0" w:color="auto"/>
            </w:tcBorders>
          </w:tcPr>
          <w:p w14:paraId="23207A6F" w14:textId="77777777" w:rsidR="00374A94" w:rsidRPr="0010253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3005BAE8" w14:textId="77777777" w:rsidR="00374A94" w:rsidRPr="0010253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nil"/>
              <w:right w:val="single" w:sz="8" w:space="0" w:color="auto"/>
            </w:tcBorders>
          </w:tcPr>
          <w:p w14:paraId="66E0342A" w14:textId="77777777" w:rsidR="00374A94" w:rsidRPr="00102534" w:rsidRDefault="00374A94" w:rsidP="00F42EDD">
            <w:pPr>
              <w:spacing w:after="0" w:line="240" w:lineRule="auto"/>
              <w:jc w:val="right"/>
              <w:rPr>
                <w:rFonts w:ascii="Arial" w:eastAsia="Times New Roman" w:hAnsi="Arial" w:cs="Arial"/>
                <w:color w:val="000000"/>
                <w:sz w:val="16"/>
                <w:szCs w:val="16"/>
                <w:lang w:eastAsia="en-GB"/>
              </w:rPr>
            </w:pPr>
          </w:p>
        </w:tc>
        <w:tc>
          <w:tcPr>
            <w:tcW w:w="345" w:type="pct"/>
            <w:vMerge/>
            <w:tcBorders>
              <w:left w:val="nil"/>
              <w:right w:val="single" w:sz="8" w:space="0" w:color="auto"/>
            </w:tcBorders>
            <w:shd w:val="clear" w:color="auto" w:fill="D9D9D9" w:themeFill="background1" w:themeFillShade="D9"/>
          </w:tcPr>
          <w:p w14:paraId="295EE2AE" w14:textId="77777777" w:rsidR="00374A94" w:rsidRPr="00102534" w:rsidRDefault="00374A94" w:rsidP="00F42EDD">
            <w:pPr>
              <w:spacing w:after="0" w:line="240" w:lineRule="auto"/>
              <w:jc w:val="right"/>
              <w:rPr>
                <w:rFonts w:ascii="Arial" w:eastAsia="Times New Roman" w:hAnsi="Arial" w:cs="Arial"/>
                <w:color w:val="000000"/>
                <w:sz w:val="16"/>
                <w:szCs w:val="16"/>
                <w:lang w:eastAsia="en-GB"/>
              </w:rPr>
            </w:pPr>
          </w:p>
        </w:tc>
      </w:tr>
      <w:tr w:rsidR="00374A94" w14:paraId="001229C1" w14:textId="6921E37E" w:rsidTr="004E4B15">
        <w:trPr>
          <w:trHeight w:val="1350"/>
        </w:trPr>
        <w:tc>
          <w:tcPr>
            <w:tcW w:w="1038" w:type="pct"/>
            <w:tcBorders>
              <w:top w:val="nil"/>
              <w:left w:val="single" w:sz="8" w:space="0" w:color="auto"/>
              <w:bottom w:val="nil"/>
              <w:right w:val="single" w:sz="4" w:space="0" w:color="auto"/>
            </w:tcBorders>
            <w:vAlign w:val="center"/>
            <w:hideMark/>
          </w:tcPr>
          <w:p w14:paraId="645C8E4F" w14:textId="77777777" w:rsidR="00374A94" w:rsidRDefault="00374A94" w:rsidP="00F42EDD">
            <w:pPr>
              <w:spacing w:after="0" w:line="240" w:lineRule="auto"/>
              <w:rPr>
                <w:rFonts w:ascii="Arial" w:eastAsia="Times New Roman" w:hAnsi="Arial" w:cs="Arial"/>
                <w:color w:val="000000"/>
                <w:sz w:val="16"/>
                <w:szCs w:val="16"/>
                <w:lang w:eastAsia="en-GB"/>
              </w:rPr>
            </w:pPr>
            <w:proofErr w:type="gramStart"/>
            <w:r>
              <w:rPr>
                <w:rFonts w:ascii="Arial" w:eastAsia="Times New Roman" w:hAnsi="Arial" w:cs="Arial"/>
                <w:color w:val="000000"/>
                <w:sz w:val="16"/>
                <w:szCs w:val="16"/>
                <w:lang w:eastAsia="en-GB"/>
              </w:rPr>
              <w:t>16-24 year old</w:t>
            </w:r>
            <w:proofErr w:type="gramEnd"/>
            <w:r>
              <w:rPr>
                <w:rFonts w:ascii="Arial" w:eastAsia="Times New Roman" w:hAnsi="Arial" w:cs="Arial"/>
                <w:color w:val="000000"/>
                <w:sz w:val="16"/>
                <w:szCs w:val="16"/>
                <w:lang w:eastAsia="en-GB"/>
              </w:rPr>
              <w:t xml:space="preserve"> residents of Preston and South Ribble who have started an apprenticeship (excluding construction). Additional numbers year on year.</w:t>
            </w:r>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C4F28" w14:textId="77777777" w:rsidR="00374A94" w:rsidRDefault="00374A94"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nil"/>
              <w:right w:val="single" w:sz="8" w:space="0" w:color="auto"/>
            </w:tcBorders>
            <w:vAlign w:val="center"/>
            <w:hideMark/>
          </w:tcPr>
          <w:p w14:paraId="32057EEF" w14:textId="77777777" w:rsidR="00374A94" w:rsidRPr="00735BEF" w:rsidRDefault="00374A94" w:rsidP="00F42EDD">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sz w:val="16"/>
                <w:szCs w:val="16"/>
                <w:lang w:eastAsia="en-GB"/>
              </w:rPr>
              <w:t>672</w:t>
            </w:r>
          </w:p>
        </w:tc>
        <w:tc>
          <w:tcPr>
            <w:tcW w:w="348" w:type="pct"/>
            <w:tcBorders>
              <w:top w:val="nil"/>
              <w:left w:val="nil"/>
              <w:bottom w:val="nil"/>
              <w:right w:val="single" w:sz="8" w:space="0" w:color="auto"/>
            </w:tcBorders>
            <w:vAlign w:val="center"/>
            <w:hideMark/>
          </w:tcPr>
          <w:p w14:paraId="17E362A8" w14:textId="77777777" w:rsidR="00374A94" w:rsidRPr="00735BEF" w:rsidRDefault="00374A94" w:rsidP="00F42EDD">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themeColor="text1"/>
                <w:sz w:val="16"/>
                <w:szCs w:val="16"/>
                <w:lang w:eastAsia="en-GB"/>
              </w:rPr>
              <w:t>1,531</w:t>
            </w:r>
          </w:p>
        </w:tc>
        <w:tc>
          <w:tcPr>
            <w:tcW w:w="348" w:type="pct"/>
            <w:tcBorders>
              <w:top w:val="nil"/>
              <w:left w:val="nil"/>
              <w:bottom w:val="nil"/>
              <w:right w:val="single" w:sz="8" w:space="0" w:color="auto"/>
            </w:tcBorders>
            <w:vAlign w:val="center"/>
            <w:hideMark/>
          </w:tcPr>
          <w:p w14:paraId="094C739E" w14:textId="77777777" w:rsidR="00374A94" w:rsidRPr="00735BEF" w:rsidRDefault="00374A94" w:rsidP="00F42EDD">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themeColor="text1"/>
                <w:sz w:val="16"/>
                <w:szCs w:val="16"/>
                <w:lang w:eastAsia="en-GB"/>
              </w:rPr>
              <w:t>1,630</w:t>
            </w:r>
          </w:p>
        </w:tc>
        <w:tc>
          <w:tcPr>
            <w:tcW w:w="348" w:type="pct"/>
            <w:tcBorders>
              <w:top w:val="nil"/>
              <w:left w:val="nil"/>
              <w:bottom w:val="nil"/>
              <w:right w:val="single" w:sz="8" w:space="0" w:color="auto"/>
            </w:tcBorders>
            <w:vAlign w:val="center"/>
            <w:hideMark/>
          </w:tcPr>
          <w:p w14:paraId="54FC2ACC" w14:textId="77777777" w:rsidR="00374A94" w:rsidRPr="00735BEF" w:rsidRDefault="00374A94" w:rsidP="00F42EDD">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themeColor="text1"/>
                <w:sz w:val="16"/>
                <w:szCs w:val="16"/>
                <w:lang w:eastAsia="en-GB"/>
              </w:rPr>
              <w:t>1,453</w:t>
            </w:r>
          </w:p>
        </w:tc>
        <w:tc>
          <w:tcPr>
            <w:tcW w:w="347" w:type="pct"/>
            <w:tcBorders>
              <w:top w:val="nil"/>
              <w:left w:val="nil"/>
              <w:bottom w:val="nil"/>
              <w:right w:val="single" w:sz="8" w:space="0" w:color="auto"/>
            </w:tcBorders>
            <w:vAlign w:val="center"/>
            <w:hideMark/>
          </w:tcPr>
          <w:p w14:paraId="6902A900" w14:textId="77777777" w:rsidR="00374A94" w:rsidRPr="00735BEF" w:rsidRDefault="00374A94" w:rsidP="00B47C2F">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themeColor="text1"/>
                <w:sz w:val="16"/>
                <w:szCs w:val="16"/>
                <w:lang w:eastAsia="en-GB"/>
              </w:rPr>
              <w:t>1,068</w:t>
            </w:r>
          </w:p>
        </w:tc>
        <w:tc>
          <w:tcPr>
            <w:tcW w:w="348" w:type="pct"/>
            <w:tcBorders>
              <w:top w:val="nil"/>
              <w:left w:val="nil"/>
              <w:bottom w:val="nil"/>
              <w:right w:val="single" w:sz="8" w:space="0" w:color="auto"/>
            </w:tcBorders>
            <w:vAlign w:val="center"/>
            <w:hideMark/>
          </w:tcPr>
          <w:p w14:paraId="261A5D7D" w14:textId="77777777" w:rsidR="00374A94" w:rsidRPr="00735BEF" w:rsidRDefault="00374A94" w:rsidP="00B47C2F">
            <w:pPr>
              <w:spacing w:after="0" w:line="240" w:lineRule="auto"/>
              <w:jc w:val="right"/>
              <w:rPr>
                <w:rFonts w:ascii="Arial" w:eastAsia="Times New Roman" w:hAnsi="Arial" w:cs="Arial"/>
                <w:b/>
                <w:bCs/>
                <w:color w:val="000000"/>
                <w:sz w:val="16"/>
                <w:szCs w:val="16"/>
                <w:lang w:eastAsia="en-GB"/>
              </w:rPr>
            </w:pPr>
            <w:r w:rsidRPr="00735BEF">
              <w:rPr>
                <w:rFonts w:ascii="Arial" w:eastAsia="Times New Roman" w:hAnsi="Arial" w:cs="Arial"/>
                <w:b/>
                <w:bCs/>
                <w:color w:val="000000" w:themeColor="text1"/>
                <w:sz w:val="16"/>
                <w:szCs w:val="16"/>
                <w:lang w:eastAsia="en-GB"/>
              </w:rPr>
              <w:t>1,150</w:t>
            </w:r>
          </w:p>
        </w:tc>
        <w:tc>
          <w:tcPr>
            <w:tcW w:w="348" w:type="pct"/>
            <w:tcBorders>
              <w:top w:val="nil"/>
              <w:left w:val="nil"/>
              <w:bottom w:val="nil"/>
              <w:right w:val="single" w:sz="8" w:space="0" w:color="auto"/>
            </w:tcBorders>
          </w:tcPr>
          <w:p w14:paraId="5C813AE2"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64BCCBF6"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39E990BB"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50623325"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r w:rsidRPr="00735BEF">
              <w:rPr>
                <w:rFonts w:ascii="Arial" w:eastAsia="Times New Roman" w:hAnsi="Arial" w:cs="Arial"/>
                <w:b/>
                <w:bCs/>
                <w:color w:val="000000" w:themeColor="text1"/>
                <w:sz w:val="16"/>
                <w:szCs w:val="16"/>
                <w:lang w:eastAsia="en-GB"/>
              </w:rPr>
              <w:t>872</w:t>
            </w:r>
          </w:p>
        </w:tc>
        <w:tc>
          <w:tcPr>
            <w:tcW w:w="348" w:type="pct"/>
            <w:tcBorders>
              <w:top w:val="nil"/>
              <w:left w:val="nil"/>
              <w:bottom w:val="nil"/>
              <w:right w:val="single" w:sz="8" w:space="0" w:color="auto"/>
            </w:tcBorders>
          </w:tcPr>
          <w:p w14:paraId="6250EAC8"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554BDA6A"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5A06F397"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57BBD4F3"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r w:rsidRPr="00735BEF">
              <w:rPr>
                <w:rFonts w:ascii="Arial" w:eastAsia="Times New Roman" w:hAnsi="Arial" w:cs="Arial"/>
                <w:b/>
                <w:bCs/>
                <w:color w:val="000000" w:themeColor="text1"/>
                <w:sz w:val="16"/>
                <w:szCs w:val="16"/>
                <w:lang w:eastAsia="en-GB"/>
              </w:rPr>
              <w:t>853</w:t>
            </w:r>
          </w:p>
        </w:tc>
        <w:tc>
          <w:tcPr>
            <w:tcW w:w="348" w:type="pct"/>
            <w:tcBorders>
              <w:top w:val="nil"/>
              <w:left w:val="nil"/>
              <w:bottom w:val="nil"/>
              <w:right w:val="single" w:sz="8" w:space="0" w:color="auto"/>
            </w:tcBorders>
          </w:tcPr>
          <w:p w14:paraId="5BE55A19"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08BE5989"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097D9831"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p w14:paraId="324444DA"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r w:rsidRPr="00735BEF">
              <w:rPr>
                <w:rFonts w:ascii="Arial" w:eastAsia="Times New Roman" w:hAnsi="Arial" w:cs="Arial"/>
                <w:b/>
                <w:bCs/>
                <w:color w:val="000000" w:themeColor="text1"/>
                <w:sz w:val="16"/>
                <w:szCs w:val="16"/>
                <w:lang w:eastAsia="en-GB"/>
              </w:rPr>
              <w:t>970</w:t>
            </w:r>
          </w:p>
        </w:tc>
        <w:tc>
          <w:tcPr>
            <w:tcW w:w="345" w:type="pct"/>
            <w:vMerge/>
            <w:tcBorders>
              <w:left w:val="nil"/>
              <w:right w:val="single" w:sz="8" w:space="0" w:color="auto"/>
            </w:tcBorders>
            <w:shd w:val="clear" w:color="auto" w:fill="D9D9D9" w:themeFill="background1" w:themeFillShade="D9"/>
          </w:tcPr>
          <w:p w14:paraId="54214D49" w14:textId="77777777" w:rsidR="00374A94" w:rsidRPr="00593A55" w:rsidRDefault="00374A94" w:rsidP="00B47C2F">
            <w:pPr>
              <w:spacing w:after="0" w:line="240" w:lineRule="auto"/>
              <w:jc w:val="right"/>
              <w:rPr>
                <w:rFonts w:ascii="Arial" w:eastAsia="Times New Roman" w:hAnsi="Arial" w:cs="Arial"/>
                <w:b/>
                <w:bCs/>
                <w:color w:val="000000" w:themeColor="text1"/>
                <w:sz w:val="16"/>
                <w:szCs w:val="16"/>
                <w:lang w:eastAsia="en-GB"/>
              </w:rPr>
            </w:pPr>
          </w:p>
        </w:tc>
      </w:tr>
      <w:tr w:rsidR="00374A94" w14:paraId="4E025C3C" w14:textId="13E468DB" w:rsidTr="004E4B15">
        <w:trPr>
          <w:trHeight w:val="690"/>
        </w:trPr>
        <w:tc>
          <w:tcPr>
            <w:tcW w:w="1038" w:type="pct"/>
            <w:tcBorders>
              <w:top w:val="nil"/>
              <w:left w:val="single" w:sz="8" w:space="0" w:color="auto"/>
              <w:bottom w:val="single" w:sz="8" w:space="0" w:color="auto"/>
              <w:right w:val="single" w:sz="4" w:space="0" w:color="auto"/>
            </w:tcBorders>
            <w:vAlign w:val="center"/>
            <w:hideMark/>
          </w:tcPr>
          <w:p w14:paraId="53D87A53"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Source: Preston's College, Runshaw College and Training 2000 ESFA data</w:t>
            </w:r>
          </w:p>
        </w:tc>
        <w:tc>
          <w:tcPr>
            <w:tcW w:w="4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D9983F" w14:textId="77777777" w:rsidR="00374A94" w:rsidRDefault="00374A94" w:rsidP="00F42EDD">
            <w:pPr>
              <w:spacing w:after="0"/>
              <w:rPr>
                <w:rFonts w:ascii="Arial" w:eastAsia="Times New Roman" w:hAnsi="Arial" w:cs="Arial"/>
                <w:color w:val="000000"/>
                <w:sz w:val="16"/>
                <w:szCs w:val="16"/>
                <w:lang w:eastAsia="en-GB"/>
              </w:rPr>
            </w:pPr>
          </w:p>
        </w:tc>
        <w:tc>
          <w:tcPr>
            <w:tcW w:w="348" w:type="pct"/>
            <w:tcBorders>
              <w:top w:val="nil"/>
              <w:left w:val="single" w:sz="4" w:space="0" w:color="auto"/>
              <w:bottom w:val="single" w:sz="4" w:space="0" w:color="auto"/>
              <w:right w:val="single" w:sz="8" w:space="0" w:color="auto"/>
            </w:tcBorders>
            <w:vAlign w:val="center"/>
            <w:hideMark/>
          </w:tcPr>
          <w:p w14:paraId="60B2850C"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3BA7073C"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11CD5587"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single" w:sz="4" w:space="0" w:color="auto"/>
              <w:right w:val="single" w:sz="8" w:space="0" w:color="auto"/>
            </w:tcBorders>
            <w:vAlign w:val="center"/>
            <w:hideMark/>
          </w:tcPr>
          <w:p w14:paraId="0D56CF86"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7" w:type="pct"/>
            <w:tcBorders>
              <w:top w:val="nil"/>
              <w:left w:val="nil"/>
              <w:bottom w:val="single" w:sz="8" w:space="0" w:color="auto"/>
              <w:right w:val="single" w:sz="8" w:space="0" w:color="auto"/>
            </w:tcBorders>
            <w:vAlign w:val="center"/>
            <w:hideMark/>
          </w:tcPr>
          <w:p w14:paraId="5663F2FD"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single" w:sz="8" w:space="0" w:color="auto"/>
              <w:right w:val="single" w:sz="8" w:space="0" w:color="auto"/>
            </w:tcBorders>
            <w:vAlign w:val="center"/>
            <w:hideMark/>
          </w:tcPr>
          <w:p w14:paraId="536DAD4C" w14:textId="77777777" w:rsidR="00374A94" w:rsidRDefault="00374A94"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w:t>
            </w:r>
          </w:p>
        </w:tc>
        <w:tc>
          <w:tcPr>
            <w:tcW w:w="348" w:type="pct"/>
            <w:tcBorders>
              <w:top w:val="nil"/>
              <w:left w:val="nil"/>
              <w:bottom w:val="single" w:sz="8" w:space="0" w:color="auto"/>
              <w:right w:val="single" w:sz="8" w:space="0" w:color="auto"/>
            </w:tcBorders>
          </w:tcPr>
          <w:p w14:paraId="319E3133" w14:textId="77777777" w:rsidR="00374A9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single" w:sz="8" w:space="0" w:color="auto"/>
              <w:right w:val="single" w:sz="8" w:space="0" w:color="auto"/>
            </w:tcBorders>
          </w:tcPr>
          <w:p w14:paraId="1CD23D48" w14:textId="77777777" w:rsidR="00374A94" w:rsidRDefault="00374A94" w:rsidP="00F42EDD">
            <w:pPr>
              <w:spacing w:after="0" w:line="240" w:lineRule="auto"/>
              <w:rPr>
                <w:rFonts w:ascii="Arial" w:eastAsia="Times New Roman" w:hAnsi="Arial" w:cs="Arial"/>
                <w:color w:val="000000"/>
                <w:sz w:val="16"/>
                <w:szCs w:val="16"/>
                <w:lang w:eastAsia="en-GB"/>
              </w:rPr>
            </w:pPr>
          </w:p>
        </w:tc>
        <w:tc>
          <w:tcPr>
            <w:tcW w:w="348" w:type="pct"/>
            <w:tcBorders>
              <w:top w:val="nil"/>
              <w:left w:val="nil"/>
              <w:bottom w:val="single" w:sz="8" w:space="0" w:color="auto"/>
              <w:right w:val="single" w:sz="8" w:space="0" w:color="auto"/>
            </w:tcBorders>
          </w:tcPr>
          <w:p w14:paraId="4885BF22" w14:textId="77777777" w:rsidR="00374A94" w:rsidRDefault="00374A94" w:rsidP="00F42EDD">
            <w:pPr>
              <w:spacing w:after="0" w:line="240" w:lineRule="auto"/>
              <w:rPr>
                <w:rFonts w:ascii="Arial" w:eastAsia="Times New Roman" w:hAnsi="Arial" w:cs="Arial"/>
                <w:color w:val="000000"/>
                <w:sz w:val="16"/>
                <w:szCs w:val="16"/>
                <w:lang w:eastAsia="en-GB"/>
              </w:rPr>
            </w:pPr>
          </w:p>
        </w:tc>
        <w:tc>
          <w:tcPr>
            <w:tcW w:w="345" w:type="pct"/>
            <w:vMerge/>
            <w:tcBorders>
              <w:left w:val="nil"/>
              <w:bottom w:val="single" w:sz="8" w:space="0" w:color="auto"/>
              <w:right w:val="single" w:sz="8" w:space="0" w:color="auto"/>
            </w:tcBorders>
            <w:shd w:val="clear" w:color="auto" w:fill="D9D9D9" w:themeFill="background1" w:themeFillShade="D9"/>
          </w:tcPr>
          <w:p w14:paraId="3C974B3D" w14:textId="77777777" w:rsidR="00374A94" w:rsidRDefault="00374A94" w:rsidP="00F42EDD">
            <w:pPr>
              <w:spacing w:after="0" w:line="240" w:lineRule="auto"/>
              <w:rPr>
                <w:rFonts w:ascii="Arial" w:eastAsia="Times New Roman" w:hAnsi="Arial" w:cs="Arial"/>
                <w:color w:val="000000"/>
                <w:sz w:val="16"/>
                <w:szCs w:val="16"/>
                <w:lang w:eastAsia="en-GB"/>
              </w:rPr>
            </w:pPr>
          </w:p>
        </w:tc>
      </w:tr>
      <w:tr w:rsidR="000974BF" w14:paraId="50F87F11" w14:textId="54943FE9" w:rsidTr="00374A94">
        <w:trPr>
          <w:trHeight w:val="145"/>
        </w:trPr>
        <w:tc>
          <w:tcPr>
            <w:tcW w:w="4655" w:type="pct"/>
            <w:gridSpan w:val="11"/>
            <w:tcBorders>
              <w:top w:val="nil"/>
              <w:left w:val="single" w:sz="8" w:space="0" w:color="auto"/>
              <w:bottom w:val="single" w:sz="8" w:space="0" w:color="auto"/>
              <w:right w:val="single" w:sz="8" w:space="0" w:color="auto"/>
            </w:tcBorders>
            <w:vAlign w:val="center"/>
          </w:tcPr>
          <w:p w14:paraId="4B993E51" w14:textId="4400B798" w:rsidR="000974BF" w:rsidRDefault="000974BF" w:rsidP="00F42EDD">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Please </w:t>
            </w:r>
            <w:proofErr w:type="gramStart"/>
            <w:r>
              <w:rPr>
                <w:rFonts w:ascii="Arial" w:eastAsia="Times New Roman" w:hAnsi="Arial" w:cs="Arial"/>
                <w:color w:val="000000"/>
                <w:sz w:val="16"/>
                <w:szCs w:val="16"/>
                <w:lang w:eastAsia="en-GB"/>
              </w:rPr>
              <w:t>note:</w:t>
            </w:r>
            <w:proofErr w:type="gramEnd"/>
            <w:r>
              <w:rPr>
                <w:rFonts w:ascii="Arial" w:eastAsia="Times New Roman" w:hAnsi="Arial" w:cs="Arial"/>
                <w:color w:val="000000"/>
                <w:sz w:val="16"/>
                <w:szCs w:val="16"/>
                <w:lang w:eastAsia="en-GB"/>
              </w:rPr>
              <w:t xml:space="preserve"> data for previous years has been issued </w:t>
            </w:r>
            <w:r w:rsidR="009F531A">
              <w:rPr>
                <w:rFonts w:ascii="Arial" w:eastAsia="Times New Roman" w:hAnsi="Arial" w:cs="Arial"/>
                <w:color w:val="000000"/>
                <w:sz w:val="16"/>
                <w:szCs w:val="16"/>
                <w:lang w:eastAsia="en-GB"/>
              </w:rPr>
              <w:t>via</w:t>
            </w:r>
            <w:r>
              <w:rPr>
                <w:rFonts w:ascii="Arial" w:eastAsia="Times New Roman" w:hAnsi="Arial" w:cs="Arial"/>
                <w:color w:val="000000"/>
                <w:sz w:val="16"/>
                <w:szCs w:val="16"/>
                <w:lang w:eastAsia="en-GB"/>
              </w:rPr>
              <w:t xml:space="preserve"> </w:t>
            </w:r>
            <w:r w:rsidRPr="0014065E">
              <w:rPr>
                <w:rFonts w:ascii="Arial" w:eastAsia="Times New Roman" w:hAnsi="Arial" w:cs="Arial"/>
                <w:color w:val="000000"/>
                <w:sz w:val="16"/>
                <w:szCs w:val="16"/>
                <w:lang w:eastAsia="en-GB"/>
              </w:rPr>
              <w:t xml:space="preserve">ESFA </w:t>
            </w:r>
            <w:proofErr w:type="spellStart"/>
            <w:r w:rsidRPr="0014065E">
              <w:rPr>
                <w:rFonts w:ascii="Arial" w:eastAsia="Times New Roman" w:hAnsi="Arial" w:cs="Arial"/>
                <w:color w:val="000000"/>
                <w:sz w:val="16"/>
                <w:szCs w:val="16"/>
                <w:lang w:eastAsia="en-GB"/>
              </w:rPr>
              <w:t>DataCube</w:t>
            </w:r>
            <w:proofErr w:type="spellEnd"/>
            <w:r w:rsidR="009F531A">
              <w:rPr>
                <w:rFonts w:ascii="Arial" w:eastAsia="Times New Roman" w:hAnsi="Arial" w:cs="Arial"/>
                <w:color w:val="000000"/>
                <w:sz w:val="16"/>
                <w:szCs w:val="16"/>
                <w:lang w:eastAsia="en-GB"/>
              </w:rPr>
              <w:t>, which is no longer available</w:t>
            </w:r>
          </w:p>
        </w:tc>
        <w:tc>
          <w:tcPr>
            <w:tcW w:w="345" w:type="pct"/>
            <w:tcBorders>
              <w:top w:val="nil"/>
              <w:left w:val="single" w:sz="8" w:space="0" w:color="auto"/>
              <w:bottom w:val="single" w:sz="8" w:space="0" w:color="auto"/>
              <w:right w:val="single" w:sz="8" w:space="0" w:color="auto"/>
            </w:tcBorders>
          </w:tcPr>
          <w:p w14:paraId="5664A130" w14:textId="77777777" w:rsidR="000974BF" w:rsidRDefault="000974BF" w:rsidP="00F42EDD">
            <w:pPr>
              <w:spacing w:after="0" w:line="240" w:lineRule="auto"/>
              <w:rPr>
                <w:rFonts w:ascii="Arial" w:eastAsia="Times New Roman" w:hAnsi="Arial" w:cs="Arial"/>
                <w:color w:val="000000"/>
                <w:sz w:val="16"/>
                <w:szCs w:val="16"/>
                <w:lang w:eastAsia="en-GB"/>
              </w:rPr>
            </w:pPr>
          </w:p>
        </w:tc>
      </w:tr>
    </w:tbl>
    <w:p w14:paraId="12829255" w14:textId="77777777" w:rsidR="00A33F18" w:rsidRPr="002C623C" w:rsidRDefault="00A33F18" w:rsidP="002C623C">
      <w:pPr>
        <w:spacing w:after="160"/>
        <w:rPr>
          <w:rFonts w:ascii="Arial" w:hAnsi="Arial" w:cs="Arial"/>
          <w:i/>
          <w:iCs/>
          <w:sz w:val="24"/>
          <w:szCs w:val="24"/>
        </w:rPr>
      </w:pPr>
    </w:p>
    <w:p w14:paraId="21F8C16C" w14:textId="25179C32" w:rsidR="00182A1B" w:rsidRDefault="00182A1B" w:rsidP="001E5F94">
      <w:pPr>
        <w:pStyle w:val="ListParagraph"/>
        <w:rPr>
          <w:rFonts w:ascii="Arial" w:hAnsi="Arial" w:cs="Arial"/>
          <w:sz w:val="24"/>
          <w:szCs w:val="24"/>
        </w:rPr>
      </w:pPr>
      <w:r w:rsidRPr="00545AFA">
        <w:rPr>
          <w:rFonts w:ascii="Arial" w:hAnsi="Arial" w:cs="Arial"/>
          <w:b/>
          <w:noProof/>
          <w:sz w:val="24"/>
          <w:szCs w:val="24"/>
          <w:shd w:val="clear" w:color="auto" w:fill="BFBFBF" w:themeFill="background1" w:themeFillShade="BF"/>
        </w:rPr>
        <w:drawing>
          <wp:inline distT="0" distB="0" distL="0" distR="0" wp14:anchorId="15D002CF" wp14:editId="575CA05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B3FE28" w14:textId="77777777" w:rsidR="00182A1B" w:rsidRPr="001E5F94" w:rsidRDefault="00182A1B" w:rsidP="001E5F94">
      <w:pPr>
        <w:pStyle w:val="ListParagraph"/>
        <w:rPr>
          <w:rFonts w:ascii="Arial" w:hAnsi="Arial" w:cs="Arial"/>
          <w:sz w:val="24"/>
          <w:szCs w:val="24"/>
        </w:rPr>
      </w:pPr>
    </w:p>
    <w:p w14:paraId="6AF32644" w14:textId="79BBE145" w:rsidR="00084A91" w:rsidRPr="00A57C60" w:rsidRDefault="008E03E7" w:rsidP="00A57C60">
      <w:pPr>
        <w:pStyle w:val="ListParagraph"/>
        <w:numPr>
          <w:ilvl w:val="0"/>
          <w:numId w:val="6"/>
        </w:numPr>
        <w:spacing w:after="160"/>
        <w:jc w:val="both"/>
        <w:rPr>
          <w:rFonts w:ascii="Arial" w:hAnsi="Arial" w:cs="Arial"/>
          <w:sz w:val="24"/>
          <w:szCs w:val="24"/>
        </w:rPr>
      </w:pPr>
      <w:r>
        <w:rPr>
          <w:rFonts w:ascii="Arial" w:hAnsi="Arial" w:cs="Arial"/>
          <w:sz w:val="24"/>
          <w:szCs w:val="24"/>
        </w:rPr>
        <w:t xml:space="preserve">Throughout the City Deal </w:t>
      </w:r>
      <w:r w:rsidR="00F477E9">
        <w:rPr>
          <w:rFonts w:ascii="Arial" w:hAnsi="Arial" w:cs="Arial"/>
          <w:sz w:val="24"/>
          <w:szCs w:val="24"/>
        </w:rPr>
        <w:t xml:space="preserve">programme, </w:t>
      </w:r>
      <w:r w:rsidR="00532B79" w:rsidRPr="00F75743">
        <w:rPr>
          <w:rFonts w:ascii="Arial" w:hAnsi="Arial" w:cs="Arial"/>
          <w:sz w:val="24"/>
          <w:szCs w:val="24"/>
        </w:rPr>
        <w:t xml:space="preserve">Apprenticeship starts across </w:t>
      </w:r>
      <w:r w:rsidR="00F477E9">
        <w:rPr>
          <w:rFonts w:ascii="Arial" w:hAnsi="Arial" w:cs="Arial"/>
          <w:sz w:val="24"/>
          <w:szCs w:val="24"/>
        </w:rPr>
        <w:t xml:space="preserve">non-Construction subjects has fluctuated. The </w:t>
      </w:r>
      <w:r w:rsidR="004F7835">
        <w:rPr>
          <w:rFonts w:ascii="Arial" w:hAnsi="Arial" w:cs="Arial"/>
          <w:sz w:val="24"/>
          <w:szCs w:val="24"/>
        </w:rPr>
        <w:t>number of starts peaked in 2015/16 at 1,630 starts. Following</w:t>
      </w:r>
      <w:r w:rsidR="00D66EA3">
        <w:rPr>
          <w:rFonts w:ascii="Arial" w:hAnsi="Arial" w:cs="Arial"/>
          <w:sz w:val="24"/>
          <w:szCs w:val="24"/>
        </w:rPr>
        <w:t xml:space="preserve"> on from this</w:t>
      </w:r>
      <w:r w:rsidR="006303E0">
        <w:rPr>
          <w:rFonts w:ascii="Arial" w:hAnsi="Arial" w:cs="Arial"/>
          <w:sz w:val="24"/>
          <w:szCs w:val="24"/>
        </w:rPr>
        <w:t xml:space="preserve">, the impact of </w:t>
      </w:r>
      <w:r w:rsidR="004F7835">
        <w:rPr>
          <w:rFonts w:ascii="Arial" w:hAnsi="Arial" w:cs="Arial"/>
          <w:sz w:val="24"/>
          <w:szCs w:val="24"/>
        </w:rPr>
        <w:t>Apprenticeship reforms</w:t>
      </w:r>
      <w:r w:rsidR="00D66EA3">
        <w:rPr>
          <w:rFonts w:ascii="Arial" w:hAnsi="Arial" w:cs="Arial"/>
          <w:sz w:val="24"/>
          <w:szCs w:val="24"/>
        </w:rPr>
        <w:t xml:space="preserve"> aimed at increasing Quality of Provision</w:t>
      </w:r>
      <w:r w:rsidR="00876542">
        <w:rPr>
          <w:rFonts w:ascii="Arial" w:hAnsi="Arial" w:cs="Arial"/>
          <w:sz w:val="24"/>
          <w:szCs w:val="24"/>
        </w:rPr>
        <w:t>,</w:t>
      </w:r>
      <w:r w:rsidR="00D66EA3">
        <w:rPr>
          <w:rFonts w:ascii="Arial" w:hAnsi="Arial" w:cs="Arial"/>
          <w:sz w:val="24"/>
          <w:szCs w:val="24"/>
        </w:rPr>
        <w:t xml:space="preserve"> </w:t>
      </w:r>
      <w:r w:rsidR="00876542">
        <w:rPr>
          <w:rFonts w:ascii="Arial" w:hAnsi="Arial" w:cs="Arial"/>
          <w:sz w:val="24"/>
          <w:szCs w:val="24"/>
        </w:rPr>
        <w:t xml:space="preserve">a shift to </w:t>
      </w:r>
      <w:r w:rsidR="00876542" w:rsidRPr="006D4DB4">
        <w:rPr>
          <w:rFonts w:ascii="Arial" w:hAnsi="Arial" w:cs="Arial"/>
          <w:sz w:val="24"/>
          <w:szCs w:val="24"/>
        </w:rPr>
        <w:t>a higher proportion of starts f</w:t>
      </w:r>
      <w:r w:rsidR="00876542">
        <w:rPr>
          <w:rFonts w:ascii="Arial" w:hAnsi="Arial" w:cs="Arial"/>
          <w:sz w:val="24"/>
          <w:szCs w:val="24"/>
        </w:rPr>
        <w:t>or A</w:t>
      </w:r>
      <w:r w:rsidR="00876542" w:rsidRPr="006D4DB4">
        <w:rPr>
          <w:rFonts w:ascii="Arial" w:hAnsi="Arial" w:cs="Arial"/>
          <w:sz w:val="24"/>
          <w:szCs w:val="24"/>
        </w:rPr>
        <w:t xml:space="preserve">pprentices </w:t>
      </w:r>
      <w:r w:rsidR="00876542">
        <w:rPr>
          <w:rFonts w:ascii="Arial" w:hAnsi="Arial" w:cs="Arial"/>
          <w:sz w:val="24"/>
          <w:szCs w:val="24"/>
        </w:rPr>
        <w:t>from age groups over</w:t>
      </w:r>
      <w:r w:rsidR="00876542" w:rsidRPr="006D4DB4">
        <w:rPr>
          <w:rFonts w:ascii="Arial" w:hAnsi="Arial" w:cs="Arial"/>
          <w:sz w:val="24"/>
          <w:szCs w:val="24"/>
        </w:rPr>
        <w:t xml:space="preserve"> the age of 24</w:t>
      </w:r>
      <w:r w:rsidR="00A57C60">
        <w:rPr>
          <w:rFonts w:ascii="Arial" w:hAnsi="Arial" w:cs="Arial"/>
          <w:sz w:val="24"/>
          <w:szCs w:val="24"/>
        </w:rPr>
        <w:t xml:space="preserve"> </w:t>
      </w:r>
      <w:r w:rsidR="00D66EA3">
        <w:rPr>
          <w:rFonts w:ascii="Arial" w:hAnsi="Arial" w:cs="Arial"/>
          <w:sz w:val="24"/>
          <w:szCs w:val="24"/>
        </w:rPr>
        <w:t xml:space="preserve">and </w:t>
      </w:r>
      <w:r w:rsidR="006303E0">
        <w:rPr>
          <w:rFonts w:ascii="Arial" w:hAnsi="Arial" w:cs="Arial"/>
          <w:sz w:val="24"/>
          <w:szCs w:val="24"/>
        </w:rPr>
        <w:t>reduced demand through the pandemic saw the number fall</w:t>
      </w:r>
      <w:r w:rsidR="00876542">
        <w:rPr>
          <w:rFonts w:ascii="Arial" w:hAnsi="Arial" w:cs="Arial"/>
          <w:sz w:val="24"/>
          <w:szCs w:val="24"/>
        </w:rPr>
        <w:t>.</w:t>
      </w:r>
    </w:p>
    <w:p w14:paraId="37DB713D" w14:textId="77777777" w:rsidR="00084A91" w:rsidRDefault="00084A91" w:rsidP="00084A91">
      <w:pPr>
        <w:pStyle w:val="ListParagraph"/>
        <w:spacing w:after="160"/>
        <w:ind w:left="360"/>
        <w:jc w:val="both"/>
        <w:rPr>
          <w:rFonts w:ascii="Arial" w:hAnsi="Arial" w:cs="Arial"/>
          <w:sz w:val="24"/>
          <w:szCs w:val="24"/>
        </w:rPr>
      </w:pPr>
    </w:p>
    <w:p w14:paraId="5AB857A9" w14:textId="588F21EA" w:rsidR="00DB6B5E" w:rsidRPr="00A57C60" w:rsidRDefault="00084A91" w:rsidP="00A57C60">
      <w:pPr>
        <w:pStyle w:val="ListParagraph"/>
        <w:numPr>
          <w:ilvl w:val="0"/>
          <w:numId w:val="6"/>
        </w:numPr>
        <w:spacing w:after="160"/>
        <w:jc w:val="both"/>
        <w:rPr>
          <w:rFonts w:ascii="Arial" w:hAnsi="Arial" w:cs="Arial"/>
          <w:sz w:val="24"/>
          <w:szCs w:val="24"/>
        </w:rPr>
      </w:pPr>
      <w:r>
        <w:rPr>
          <w:rFonts w:ascii="Arial" w:hAnsi="Arial" w:cs="Arial"/>
          <w:sz w:val="24"/>
          <w:szCs w:val="24"/>
        </w:rPr>
        <w:lastRenderedPageBreak/>
        <w:t>D</w:t>
      </w:r>
      <w:r w:rsidR="00D66EA3" w:rsidRPr="00084A91">
        <w:rPr>
          <w:rFonts w:ascii="Arial" w:hAnsi="Arial" w:cs="Arial"/>
          <w:sz w:val="24"/>
          <w:szCs w:val="24"/>
        </w:rPr>
        <w:t>ata for the most recent</w:t>
      </w:r>
      <w:r w:rsidR="00934DF8" w:rsidRPr="00084A91">
        <w:rPr>
          <w:rFonts w:ascii="Arial" w:hAnsi="Arial" w:cs="Arial"/>
          <w:sz w:val="24"/>
          <w:szCs w:val="24"/>
        </w:rPr>
        <w:t>, avai</w:t>
      </w:r>
      <w:r w:rsidRPr="00084A91">
        <w:rPr>
          <w:rFonts w:ascii="Arial" w:hAnsi="Arial" w:cs="Arial"/>
          <w:sz w:val="24"/>
          <w:szCs w:val="24"/>
        </w:rPr>
        <w:t>l</w:t>
      </w:r>
      <w:r w:rsidR="00934DF8" w:rsidRPr="00084A91">
        <w:rPr>
          <w:rFonts w:ascii="Arial" w:hAnsi="Arial" w:cs="Arial"/>
          <w:sz w:val="24"/>
          <w:szCs w:val="24"/>
        </w:rPr>
        <w:t xml:space="preserve">able period </w:t>
      </w:r>
      <w:r w:rsidR="006303E0" w:rsidRPr="00084A91">
        <w:rPr>
          <w:rFonts w:ascii="Arial" w:hAnsi="Arial" w:cs="Arial"/>
          <w:sz w:val="24"/>
          <w:szCs w:val="24"/>
        </w:rPr>
        <w:t xml:space="preserve">(2021/22) </w:t>
      </w:r>
      <w:r w:rsidRPr="00084A91">
        <w:rPr>
          <w:rFonts w:ascii="Arial" w:hAnsi="Arial" w:cs="Arial"/>
          <w:sz w:val="24"/>
          <w:szCs w:val="24"/>
        </w:rPr>
        <w:t xml:space="preserve">saw a 14% </w:t>
      </w:r>
      <w:r w:rsidR="00876542" w:rsidRPr="00084A91">
        <w:rPr>
          <w:rFonts w:ascii="Arial" w:hAnsi="Arial" w:cs="Arial"/>
          <w:sz w:val="24"/>
          <w:szCs w:val="24"/>
        </w:rPr>
        <w:t>increase,</w:t>
      </w:r>
      <w:r w:rsidR="00532B79" w:rsidRPr="00084A91">
        <w:rPr>
          <w:rFonts w:ascii="Arial" w:hAnsi="Arial" w:cs="Arial"/>
          <w:sz w:val="24"/>
          <w:szCs w:val="24"/>
        </w:rPr>
        <w:t xml:space="preserve"> from 853 to 970. This is the highest level </w:t>
      </w:r>
      <w:r w:rsidR="00876542">
        <w:rPr>
          <w:rFonts w:ascii="Arial" w:hAnsi="Arial" w:cs="Arial"/>
          <w:sz w:val="24"/>
          <w:szCs w:val="24"/>
        </w:rPr>
        <w:t xml:space="preserve">of starts achieved </w:t>
      </w:r>
      <w:r w:rsidR="00532B79" w:rsidRPr="00084A91">
        <w:rPr>
          <w:rFonts w:ascii="Arial" w:hAnsi="Arial" w:cs="Arial"/>
          <w:sz w:val="24"/>
          <w:szCs w:val="24"/>
        </w:rPr>
        <w:t>since 2018/19.</w:t>
      </w:r>
      <w:r w:rsidR="00A57C60" w:rsidRPr="00A57C60">
        <w:rPr>
          <w:rFonts w:ascii="Arial" w:hAnsi="Arial" w:cs="Arial"/>
          <w:sz w:val="24"/>
          <w:szCs w:val="24"/>
        </w:rPr>
        <w:t xml:space="preserve"> </w:t>
      </w:r>
      <w:r w:rsidR="00A57C60" w:rsidRPr="00222231">
        <w:rPr>
          <w:rFonts w:ascii="Arial" w:hAnsi="Arial" w:cs="Arial"/>
          <w:sz w:val="24"/>
          <w:szCs w:val="24"/>
        </w:rPr>
        <w:t xml:space="preserve">Apprenticeship starts for 16–24-year-olds </w:t>
      </w:r>
      <w:r w:rsidR="00A57C60">
        <w:rPr>
          <w:rFonts w:ascii="Arial" w:hAnsi="Arial" w:cs="Arial"/>
          <w:sz w:val="24"/>
          <w:szCs w:val="24"/>
        </w:rPr>
        <w:t>in a</w:t>
      </w:r>
      <w:r w:rsidR="00A57C60" w:rsidRPr="00222231">
        <w:rPr>
          <w:rFonts w:ascii="Arial" w:hAnsi="Arial" w:cs="Arial"/>
          <w:sz w:val="24"/>
          <w:szCs w:val="24"/>
        </w:rPr>
        <w:t>ll subjects</w:t>
      </w:r>
      <w:r w:rsidR="00A57C60">
        <w:rPr>
          <w:rFonts w:ascii="Arial" w:hAnsi="Arial" w:cs="Arial"/>
          <w:sz w:val="24"/>
          <w:szCs w:val="24"/>
        </w:rPr>
        <w:t xml:space="preserve"> excluding construction, still </w:t>
      </w:r>
      <w:r w:rsidR="00A57C60" w:rsidRPr="00222231">
        <w:rPr>
          <w:rFonts w:ascii="Arial" w:hAnsi="Arial" w:cs="Arial"/>
          <w:sz w:val="24"/>
          <w:szCs w:val="24"/>
        </w:rPr>
        <w:t>stand</w:t>
      </w:r>
      <w:r w:rsidR="00A57C60">
        <w:rPr>
          <w:rFonts w:ascii="Arial" w:hAnsi="Arial" w:cs="Arial"/>
          <w:sz w:val="24"/>
          <w:szCs w:val="24"/>
        </w:rPr>
        <w:t>s</w:t>
      </w:r>
      <w:r w:rsidR="00A57C60" w:rsidRPr="00222231">
        <w:rPr>
          <w:rFonts w:ascii="Arial" w:hAnsi="Arial" w:cs="Arial"/>
          <w:sz w:val="24"/>
          <w:szCs w:val="24"/>
        </w:rPr>
        <w:t xml:space="preserve"> at a higher level, when compared with the year one reference data</w:t>
      </w:r>
      <w:r w:rsidR="00A57C60">
        <w:rPr>
          <w:rFonts w:ascii="Arial" w:hAnsi="Arial" w:cs="Arial"/>
          <w:sz w:val="24"/>
          <w:szCs w:val="24"/>
        </w:rPr>
        <w:t xml:space="preserve"> (970 in comparison with 672).</w:t>
      </w:r>
    </w:p>
    <w:p w14:paraId="5E713947" w14:textId="77777777" w:rsidR="00DB6B5E" w:rsidRDefault="00DB6B5E" w:rsidP="00DB6B5E">
      <w:pPr>
        <w:pStyle w:val="ListParagraph"/>
        <w:spacing w:after="160"/>
        <w:ind w:left="360"/>
        <w:jc w:val="both"/>
        <w:rPr>
          <w:rFonts w:ascii="Arial" w:hAnsi="Arial" w:cs="Arial"/>
          <w:sz w:val="24"/>
          <w:szCs w:val="24"/>
        </w:rPr>
      </w:pPr>
    </w:p>
    <w:p w14:paraId="156D39A7" w14:textId="3A5FE885" w:rsidR="008347E2" w:rsidRPr="007D09E3" w:rsidRDefault="00DB6B5E" w:rsidP="008347E2">
      <w:pPr>
        <w:pStyle w:val="ListParagraph"/>
        <w:numPr>
          <w:ilvl w:val="0"/>
          <w:numId w:val="6"/>
        </w:numPr>
        <w:spacing w:after="160" w:line="256" w:lineRule="auto"/>
        <w:jc w:val="both"/>
        <w:rPr>
          <w:rFonts w:ascii="Arial" w:hAnsi="Arial" w:cs="Arial"/>
          <w:sz w:val="24"/>
          <w:szCs w:val="24"/>
        </w:rPr>
      </w:pPr>
      <w:r w:rsidRPr="007D09E3">
        <w:rPr>
          <w:rFonts w:ascii="Arial" w:hAnsi="Arial" w:cs="Arial"/>
          <w:sz w:val="24"/>
          <w:szCs w:val="24"/>
        </w:rPr>
        <w:t xml:space="preserve">As with the previous </w:t>
      </w:r>
      <w:r w:rsidR="00DC3EF0" w:rsidRPr="007D09E3">
        <w:rPr>
          <w:rFonts w:ascii="Arial" w:hAnsi="Arial" w:cs="Arial"/>
          <w:sz w:val="24"/>
          <w:szCs w:val="24"/>
        </w:rPr>
        <w:t>table, d</w:t>
      </w:r>
      <w:r w:rsidRPr="007D09E3">
        <w:rPr>
          <w:rFonts w:ascii="Arial" w:hAnsi="Arial" w:cs="Arial"/>
          <w:sz w:val="24"/>
          <w:szCs w:val="24"/>
        </w:rPr>
        <w:t xml:space="preserve">ata for 2022/23 is no longer provided through the EFSA </w:t>
      </w:r>
      <w:proofErr w:type="spellStart"/>
      <w:r w:rsidRPr="007D09E3">
        <w:rPr>
          <w:rFonts w:ascii="Arial" w:hAnsi="Arial" w:cs="Arial"/>
          <w:sz w:val="24"/>
          <w:szCs w:val="24"/>
        </w:rPr>
        <w:t>Datacube</w:t>
      </w:r>
      <w:proofErr w:type="spellEnd"/>
      <w:r w:rsidR="00DC3EF0" w:rsidRPr="007D09E3">
        <w:rPr>
          <w:rFonts w:ascii="Arial" w:hAnsi="Arial" w:cs="Arial"/>
          <w:sz w:val="24"/>
          <w:szCs w:val="24"/>
        </w:rPr>
        <w:t>, meaning we can no longer update the series.</w:t>
      </w:r>
      <w:r w:rsidRPr="007D09E3">
        <w:rPr>
          <w:rFonts w:ascii="Arial" w:hAnsi="Arial" w:cs="Arial"/>
          <w:sz w:val="24"/>
          <w:szCs w:val="24"/>
        </w:rPr>
        <w:t xml:space="preserve"> </w:t>
      </w:r>
    </w:p>
    <w:p w14:paraId="07F1906C" w14:textId="77777777" w:rsidR="001F1EF5" w:rsidRDefault="001F1EF5" w:rsidP="001F1EF5">
      <w:pPr>
        <w:spacing w:after="160" w:line="256" w:lineRule="auto"/>
        <w:rPr>
          <w:rFonts w:ascii="Arial" w:hAnsi="Arial" w:cs="Arial"/>
          <w:i/>
          <w:iCs/>
          <w:sz w:val="24"/>
          <w:szCs w:val="24"/>
        </w:rPr>
      </w:pPr>
    </w:p>
    <w:p w14:paraId="515BFC67" w14:textId="1443CBE3" w:rsidR="001F1EF5" w:rsidRPr="00E12121" w:rsidRDefault="001F1EF5" w:rsidP="001F1EF5">
      <w:pPr>
        <w:spacing w:after="160" w:line="256" w:lineRule="auto"/>
        <w:rPr>
          <w:rFonts w:ascii="Arial" w:hAnsi="Arial" w:cs="Arial"/>
          <w:i/>
          <w:iCs/>
          <w:sz w:val="24"/>
          <w:szCs w:val="24"/>
        </w:rPr>
      </w:pPr>
      <w:r>
        <w:rPr>
          <w:rFonts w:ascii="Arial" w:hAnsi="Arial" w:cs="Arial"/>
          <w:i/>
          <w:iCs/>
          <w:sz w:val="24"/>
          <w:szCs w:val="24"/>
        </w:rPr>
        <w:t xml:space="preserve">2.1.3 </w:t>
      </w:r>
      <w:r w:rsidRPr="00E12121">
        <w:rPr>
          <w:rFonts w:ascii="Arial" w:hAnsi="Arial" w:cs="Arial"/>
          <w:i/>
          <w:iCs/>
          <w:sz w:val="24"/>
          <w:szCs w:val="24"/>
        </w:rPr>
        <w:t>Number of interventions/ activities promoting City Deal and construction career opportunities with Young People, Teachers/IAG practitioners,</w:t>
      </w:r>
      <w:r>
        <w:rPr>
          <w:rFonts w:ascii="Arial" w:hAnsi="Arial" w:cs="Arial"/>
          <w:i/>
          <w:iCs/>
          <w:sz w:val="24"/>
          <w:szCs w:val="24"/>
        </w:rPr>
        <w:t xml:space="preserve"> </w:t>
      </w:r>
      <w:r w:rsidRPr="00E12121">
        <w:rPr>
          <w:rFonts w:ascii="Arial" w:hAnsi="Arial" w:cs="Arial"/>
          <w:i/>
          <w:iCs/>
          <w:sz w:val="24"/>
          <w:szCs w:val="24"/>
        </w:rPr>
        <w:t>Parents, and</w:t>
      </w:r>
      <w:r>
        <w:rPr>
          <w:rFonts w:ascii="Arial" w:hAnsi="Arial" w:cs="Arial"/>
          <w:i/>
          <w:iCs/>
          <w:sz w:val="24"/>
          <w:szCs w:val="24"/>
        </w:rPr>
        <w:t xml:space="preserve"> </w:t>
      </w:r>
      <w:r w:rsidRPr="00E12121">
        <w:rPr>
          <w:rFonts w:ascii="Arial" w:hAnsi="Arial" w:cs="Arial"/>
          <w:i/>
          <w:iCs/>
          <w:sz w:val="24"/>
          <w:szCs w:val="24"/>
        </w:rPr>
        <w:t xml:space="preserve">   Education Institutions</w:t>
      </w:r>
    </w:p>
    <w:tbl>
      <w:tblPr>
        <w:tblW w:w="5425" w:type="pct"/>
        <w:tblLayout w:type="fixed"/>
        <w:tblLook w:val="04A0" w:firstRow="1" w:lastRow="0" w:firstColumn="1" w:lastColumn="0" w:noHBand="0" w:noVBand="1"/>
      </w:tblPr>
      <w:tblGrid>
        <w:gridCol w:w="2315"/>
        <w:gridCol w:w="1099"/>
        <w:gridCol w:w="710"/>
        <w:gridCol w:w="708"/>
        <w:gridCol w:w="710"/>
        <w:gridCol w:w="708"/>
        <w:gridCol w:w="708"/>
        <w:gridCol w:w="710"/>
        <w:gridCol w:w="708"/>
        <w:gridCol w:w="708"/>
        <w:gridCol w:w="698"/>
      </w:tblGrid>
      <w:tr w:rsidR="001F1EF5" w14:paraId="0068B330" w14:textId="77777777" w:rsidTr="00B67F61">
        <w:trPr>
          <w:trHeight w:val="300"/>
        </w:trPr>
        <w:tc>
          <w:tcPr>
            <w:tcW w:w="1183" w:type="pct"/>
            <w:tcBorders>
              <w:top w:val="single" w:sz="4" w:space="0" w:color="auto"/>
              <w:left w:val="single" w:sz="4" w:space="0" w:color="auto"/>
              <w:bottom w:val="nil"/>
              <w:right w:val="single" w:sz="8" w:space="0" w:color="auto"/>
            </w:tcBorders>
            <w:shd w:val="clear" w:color="auto" w:fill="F2F2F2"/>
            <w:vAlign w:val="center"/>
            <w:hideMark/>
          </w:tcPr>
          <w:p w14:paraId="776C4025"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Output</w:t>
            </w:r>
          </w:p>
        </w:tc>
        <w:tc>
          <w:tcPr>
            <w:tcW w:w="561" w:type="pct"/>
            <w:tcBorders>
              <w:top w:val="single" w:sz="4" w:space="0" w:color="auto"/>
              <w:left w:val="nil"/>
              <w:bottom w:val="nil"/>
              <w:right w:val="nil"/>
            </w:tcBorders>
            <w:shd w:val="clear" w:color="auto" w:fill="F2F2F2"/>
            <w:vAlign w:val="center"/>
            <w:hideMark/>
          </w:tcPr>
          <w:p w14:paraId="0EE5B0AC"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Baseline:</w:t>
            </w:r>
          </w:p>
        </w:tc>
        <w:tc>
          <w:tcPr>
            <w:tcW w:w="363" w:type="pct"/>
            <w:vMerge w:val="restart"/>
            <w:tcBorders>
              <w:top w:val="single" w:sz="4" w:space="0" w:color="auto"/>
              <w:left w:val="single" w:sz="8" w:space="0" w:color="auto"/>
              <w:bottom w:val="single" w:sz="8" w:space="0" w:color="000000"/>
              <w:right w:val="single" w:sz="8" w:space="0" w:color="auto"/>
            </w:tcBorders>
            <w:shd w:val="clear" w:color="auto" w:fill="F2F2F2"/>
            <w:vAlign w:val="center"/>
            <w:hideMark/>
          </w:tcPr>
          <w:p w14:paraId="1CB7793F"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Yr.1</w:t>
            </w:r>
          </w:p>
        </w:tc>
        <w:tc>
          <w:tcPr>
            <w:tcW w:w="362" w:type="pct"/>
            <w:vMerge w:val="restart"/>
            <w:tcBorders>
              <w:top w:val="single" w:sz="4" w:space="0" w:color="auto"/>
              <w:left w:val="single" w:sz="8" w:space="0" w:color="auto"/>
              <w:bottom w:val="single" w:sz="8" w:space="0" w:color="000000"/>
              <w:right w:val="single" w:sz="8" w:space="0" w:color="auto"/>
            </w:tcBorders>
            <w:shd w:val="clear" w:color="auto" w:fill="F2F2F2"/>
            <w:vAlign w:val="center"/>
            <w:hideMark/>
          </w:tcPr>
          <w:p w14:paraId="45B339A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Yr.2 </w:t>
            </w:r>
          </w:p>
        </w:tc>
        <w:tc>
          <w:tcPr>
            <w:tcW w:w="363" w:type="pct"/>
            <w:vMerge w:val="restart"/>
            <w:tcBorders>
              <w:top w:val="single" w:sz="4" w:space="0" w:color="auto"/>
              <w:left w:val="single" w:sz="8" w:space="0" w:color="auto"/>
              <w:bottom w:val="single" w:sz="8" w:space="0" w:color="000000"/>
              <w:right w:val="single" w:sz="8" w:space="0" w:color="auto"/>
            </w:tcBorders>
            <w:shd w:val="clear" w:color="auto" w:fill="F2F2F2"/>
            <w:vAlign w:val="center"/>
            <w:hideMark/>
          </w:tcPr>
          <w:p w14:paraId="07B7BEB9"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Yr.3 </w:t>
            </w:r>
          </w:p>
        </w:tc>
        <w:tc>
          <w:tcPr>
            <w:tcW w:w="362" w:type="pct"/>
            <w:vMerge w:val="restart"/>
            <w:tcBorders>
              <w:top w:val="single" w:sz="4" w:space="0" w:color="auto"/>
              <w:left w:val="single" w:sz="8" w:space="0" w:color="auto"/>
              <w:bottom w:val="single" w:sz="8" w:space="0" w:color="000000"/>
              <w:right w:val="single" w:sz="8" w:space="0" w:color="auto"/>
            </w:tcBorders>
            <w:shd w:val="clear" w:color="auto" w:fill="F2F2F2"/>
            <w:vAlign w:val="center"/>
            <w:hideMark/>
          </w:tcPr>
          <w:p w14:paraId="2F1C66C5"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Yr.4</w:t>
            </w:r>
          </w:p>
        </w:tc>
        <w:tc>
          <w:tcPr>
            <w:tcW w:w="362" w:type="pct"/>
            <w:vMerge w:val="restart"/>
            <w:tcBorders>
              <w:top w:val="single" w:sz="4" w:space="0" w:color="auto"/>
              <w:left w:val="nil"/>
              <w:bottom w:val="single" w:sz="8" w:space="0" w:color="000000"/>
              <w:right w:val="single" w:sz="8" w:space="0" w:color="auto"/>
            </w:tcBorders>
            <w:shd w:val="clear" w:color="auto" w:fill="F2F2F2"/>
            <w:vAlign w:val="center"/>
            <w:hideMark/>
          </w:tcPr>
          <w:p w14:paraId="6F9F69CE"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Yr.5*</w:t>
            </w:r>
          </w:p>
        </w:tc>
        <w:tc>
          <w:tcPr>
            <w:tcW w:w="363" w:type="pct"/>
            <w:vMerge w:val="restart"/>
            <w:tcBorders>
              <w:top w:val="single" w:sz="4" w:space="0" w:color="auto"/>
              <w:left w:val="nil"/>
              <w:bottom w:val="single" w:sz="8" w:space="0" w:color="000000"/>
              <w:right w:val="single" w:sz="8" w:space="0" w:color="auto"/>
            </w:tcBorders>
            <w:shd w:val="clear" w:color="auto" w:fill="F2F2F2"/>
            <w:vAlign w:val="center"/>
            <w:hideMark/>
          </w:tcPr>
          <w:p w14:paraId="51AB06A9"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Yr.6</w:t>
            </w:r>
          </w:p>
        </w:tc>
        <w:tc>
          <w:tcPr>
            <w:tcW w:w="362" w:type="pct"/>
            <w:vMerge w:val="restart"/>
            <w:tcBorders>
              <w:top w:val="single" w:sz="4" w:space="0" w:color="auto"/>
              <w:left w:val="nil"/>
              <w:bottom w:val="single" w:sz="8" w:space="0" w:color="000000"/>
              <w:right w:val="single" w:sz="8" w:space="0" w:color="auto"/>
            </w:tcBorders>
            <w:shd w:val="clear" w:color="auto" w:fill="F2F2F2"/>
            <w:vAlign w:val="center"/>
          </w:tcPr>
          <w:p w14:paraId="292B60EE"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Yr.7</w:t>
            </w:r>
          </w:p>
        </w:tc>
        <w:tc>
          <w:tcPr>
            <w:tcW w:w="362" w:type="pct"/>
            <w:vMerge w:val="restart"/>
            <w:tcBorders>
              <w:top w:val="single" w:sz="4" w:space="0" w:color="auto"/>
              <w:left w:val="nil"/>
              <w:right w:val="single" w:sz="8" w:space="0" w:color="auto"/>
            </w:tcBorders>
            <w:shd w:val="clear" w:color="auto" w:fill="F2F2F2"/>
            <w:vAlign w:val="center"/>
          </w:tcPr>
          <w:p w14:paraId="003254A5"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Yr.8</w:t>
            </w:r>
          </w:p>
        </w:tc>
        <w:tc>
          <w:tcPr>
            <w:tcW w:w="358" w:type="pct"/>
            <w:vMerge w:val="restart"/>
            <w:tcBorders>
              <w:top w:val="single" w:sz="4" w:space="0" w:color="auto"/>
              <w:left w:val="nil"/>
              <w:right w:val="single" w:sz="4" w:space="0" w:color="auto"/>
            </w:tcBorders>
            <w:shd w:val="clear" w:color="auto" w:fill="F2F2F2"/>
            <w:vAlign w:val="center"/>
          </w:tcPr>
          <w:p w14:paraId="25E5EAAD"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Yr.9</w:t>
            </w:r>
          </w:p>
        </w:tc>
      </w:tr>
      <w:tr w:rsidR="001F1EF5" w14:paraId="6233846A" w14:textId="77777777" w:rsidTr="00B67F61">
        <w:trPr>
          <w:trHeight w:val="351"/>
        </w:trPr>
        <w:tc>
          <w:tcPr>
            <w:tcW w:w="1183" w:type="pct"/>
            <w:tcBorders>
              <w:top w:val="nil"/>
              <w:left w:val="single" w:sz="4" w:space="0" w:color="auto"/>
              <w:bottom w:val="nil"/>
              <w:right w:val="single" w:sz="8" w:space="0" w:color="auto"/>
            </w:tcBorders>
            <w:shd w:val="clear" w:color="auto" w:fill="F2F2F2"/>
            <w:vAlign w:val="center"/>
            <w:hideMark/>
          </w:tcPr>
          <w:p w14:paraId="4BAEED1D"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561" w:type="pct"/>
            <w:vMerge w:val="restart"/>
            <w:tcBorders>
              <w:top w:val="nil"/>
              <w:left w:val="single" w:sz="8" w:space="0" w:color="auto"/>
              <w:bottom w:val="single" w:sz="8" w:space="0" w:color="000000"/>
              <w:right w:val="single" w:sz="8" w:space="0" w:color="auto"/>
            </w:tcBorders>
            <w:shd w:val="clear" w:color="auto" w:fill="F2F2F2"/>
            <w:vAlign w:val="center"/>
            <w:hideMark/>
          </w:tcPr>
          <w:p w14:paraId="10CB3F9D" w14:textId="77777777" w:rsidR="001F1EF5" w:rsidRDefault="001F1EF5" w:rsidP="00ED617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Academic Year 2012/13</w:t>
            </w:r>
          </w:p>
        </w:tc>
        <w:tc>
          <w:tcPr>
            <w:tcW w:w="363" w:type="pct"/>
            <w:vMerge/>
            <w:tcBorders>
              <w:top w:val="single" w:sz="8" w:space="0" w:color="auto"/>
              <w:left w:val="single" w:sz="8" w:space="0" w:color="auto"/>
              <w:bottom w:val="single" w:sz="8" w:space="0" w:color="000000"/>
              <w:right w:val="single" w:sz="8" w:space="0" w:color="auto"/>
            </w:tcBorders>
            <w:vAlign w:val="center"/>
            <w:hideMark/>
          </w:tcPr>
          <w:p w14:paraId="6054363C" w14:textId="77777777" w:rsidR="001F1EF5" w:rsidRDefault="001F1EF5" w:rsidP="00ED617A">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14:paraId="19B19196" w14:textId="77777777" w:rsidR="001F1EF5" w:rsidRDefault="001F1EF5" w:rsidP="00ED617A">
            <w:pPr>
              <w:spacing w:after="0"/>
              <w:rPr>
                <w:rFonts w:ascii="Arial" w:eastAsia="Times New Roman" w:hAnsi="Arial" w:cs="Arial"/>
                <w:b/>
                <w:bCs/>
                <w:color w:val="000000"/>
                <w:sz w:val="16"/>
                <w:szCs w:val="16"/>
                <w:lang w:eastAsia="en-GB"/>
              </w:rPr>
            </w:pPr>
          </w:p>
        </w:tc>
        <w:tc>
          <w:tcPr>
            <w:tcW w:w="363" w:type="pct"/>
            <w:vMerge/>
            <w:tcBorders>
              <w:top w:val="single" w:sz="8" w:space="0" w:color="auto"/>
              <w:left w:val="single" w:sz="8" w:space="0" w:color="auto"/>
              <w:bottom w:val="single" w:sz="8" w:space="0" w:color="000000"/>
              <w:right w:val="single" w:sz="8" w:space="0" w:color="auto"/>
            </w:tcBorders>
            <w:vAlign w:val="center"/>
            <w:hideMark/>
          </w:tcPr>
          <w:p w14:paraId="4C2AEFA6" w14:textId="77777777" w:rsidR="001F1EF5" w:rsidRDefault="001F1EF5" w:rsidP="00ED617A">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single" w:sz="8" w:space="0" w:color="auto"/>
              <w:bottom w:val="single" w:sz="8" w:space="0" w:color="000000"/>
              <w:right w:val="single" w:sz="8" w:space="0" w:color="auto"/>
            </w:tcBorders>
            <w:vAlign w:val="center"/>
            <w:hideMark/>
          </w:tcPr>
          <w:p w14:paraId="26388A13" w14:textId="77777777" w:rsidR="001F1EF5" w:rsidRDefault="001F1EF5" w:rsidP="00ED617A">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nil"/>
              <w:bottom w:val="single" w:sz="8" w:space="0" w:color="000000"/>
              <w:right w:val="single" w:sz="8" w:space="0" w:color="auto"/>
            </w:tcBorders>
            <w:vAlign w:val="center"/>
            <w:hideMark/>
          </w:tcPr>
          <w:p w14:paraId="6215BB6A" w14:textId="77777777" w:rsidR="001F1EF5" w:rsidRDefault="001F1EF5" w:rsidP="00ED617A">
            <w:pPr>
              <w:spacing w:after="0"/>
              <w:rPr>
                <w:rFonts w:ascii="Arial" w:eastAsia="Times New Roman" w:hAnsi="Arial" w:cs="Arial"/>
                <w:b/>
                <w:bCs/>
                <w:color w:val="000000"/>
                <w:sz w:val="16"/>
                <w:szCs w:val="16"/>
                <w:lang w:eastAsia="en-GB"/>
              </w:rPr>
            </w:pPr>
          </w:p>
        </w:tc>
        <w:tc>
          <w:tcPr>
            <w:tcW w:w="363" w:type="pct"/>
            <w:vMerge/>
            <w:tcBorders>
              <w:top w:val="single" w:sz="8" w:space="0" w:color="auto"/>
              <w:left w:val="nil"/>
              <w:bottom w:val="single" w:sz="8" w:space="0" w:color="000000"/>
              <w:right w:val="single" w:sz="8" w:space="0" w:color="auto"/>
            </w:tcBorders>
            <w:vAlign w:val="center"/>
            <w:hideMark/>
          </w:tcPr>
          <w:p w14:paraId="76C3BA68" w14:textId="77777777" w:rsidR="001F1EF5" w:rsidRDefault="001F1EF5" w:rsidP="00ED617A">
            <w:pPr>
              <w:spacing w:after="0"/>
              <w:rPr>
                <w:rFonts w:ascii="Arial" w:eastAsia="Times New Roman" w:hAnsi="Arial" w:cs="Arial"/>
                <w:b/>
                <w:bCs/>
                <w:color w:val="000000"/>
                <w:sz w:val="16"/>
                <w:szCs w:val="16"/>
                <w:lang w:eastAsia="en-GB"/>
              </w:rPr>
            </w:pPr>
          </w:p>
        </w:tc>
        <w:tc>
          <w:tcPr>
            <w:tcW w:w="362" w:type="pct"/>
            <w:vMerge/>
            <w:tcBorders>
              <w:top w:val="single" w:sz="8" w:space="0" w:color="auto"/>
              <w:left w:val="nil"/>
              <w:bottom w:val="single" w:sz="8" w:space="0" w:color="000000"/>
              <w:right w:val="single" w:sz="8" w:space="0" w:color="auto"/>
            </w:tcBorders>
            <w:vAlign w:val="center"/>
            <w:hideMark/>
          </w:tcPr>
          <w:p w14:paraId="4DD30D02" w14:textId="77777777" w:rsidR="001F1EF5" w:rsidRDefault="001F1EF5" w:rsidP="00ED617A">
            <w:pPr>
              <w:spacing w:after="0"/>
              <w:rPr>
                <w:rFonts w:ascii="Arial" w:eastAsia="Times New Roman" w:hAnsi="Arial" w:cs="Arial"/>
                <w:b/>
                <w:bCs/>
                <w:color w:val="000000"/>
                <w:sz w:val="16"/>
                <w:szCs w:val="16"/>
                <w:lang w:eastAsia="en-GB"/>
              </w:rPr>
            </w:pPr>
          </w:p>
        </w:tc>
        <w:tc>
          <w:tcPr>
            <w:tcW w:w="362" w:type="pct"/>
            <w:vMerge/>
            <w:tcBorders>
              <w:left w:val="nil"/>
              <w:bottom w:val="single" w:sz="8" w:space="0" w:color="000000"/>
              <w:right w:val="single" w:sz="8" w:space="0" w:color="auto"/>
            </w:tcBorders>
            <w:vAlign w:val="center"/>
          </w:tcPr>
          <w:p w14:paraId="34A6EEDA" w14:textId="77777777" w:rsidR="001F1EF5" w:rsidRDefault="001F1EF5" w:rsidP="00ED617A">
            <w:pPr>
              <w:spacing w:after="0"/>
              <w:rPr>
                <w:rFonts w:ascii="Arial" w:eastAsia="Times New Roman" w:hAnsi="Arial" w:cs="Arial"/>
                <w:b/>
                <w:bCs/>
                <w:color w:val="000000"/>
                <w:sz w:val="16"/>
                <w:szCs w:val="16"/>
                <w:lang w:eastAsia="en-GB"/>
              </w:rPr>
            </w:pPr>
          </w:p>
        </w:tc>
        <w:tc>
          <w:tcPr>
            <w:tcW w:w="358" w:type="pct"/>
            <w:vMerge/>
            <w:tcBorders>
              <w:left w:val="nil"/>
              <w:bottom w:val="single" w:sz="8" w:space="0" w:color="000000"/>
              <w:right w:val="single" w:sz="4" w:space="0" w:color="auto"/>
            </w:tcBorders>
            <w:vAlign w:val="center"/>
          </w:tcPr>
          <w:p w14:paraId="0325F4F8" w14:textId="77777777" w:rsidR="001F1EF5" w:rsidRDefault="001F1EF5" w:rsidP="00ED617A">
            <w:pPr>
              <w:spacing w:after="0"/>
              <w:rPr>
                <w:rFonts w:ascii="Arial" w:eastAsia="Times New Roman" w:hAnsi="Arial" w:cs="Arial"/>
                <w:b/>
                <w:bCs/>
                <w:color w:val="000000"/>
                <w:sz w:val="16"/>
                <w:szCs w:val="16"/>
                <w:lang w:eastAsia="en-GB"/>
              </w:rPr>
            </w:pPr>
          </w:p>
        </w:tc>
      </w:tr>
      <w:tr w:rsidR="001F1EF5" w:rsidRPr="0005260B" w14:paraId="7D30227A" w14:textId="77777777" w:rsidTr="00B67F61">
        <w:trPr>
          <w:trHeight w:val="315"/>
        </w:trPr>
        <w:tc>
          <w:tcPr>
            <w:tcW w:w="1183" w:type="pct"/>
            <w:tcBorders>
              <w:top w:val="nil"/>
              <w:left w:val="single" w:sz="4" w:space="0" w:color="auto"/>
              <w:bottom w:val="nil"/>
              <w:right w:val="single" w:sz="8" w:space="0" w:color="auto"/>
            </w:tcBorders>
            <w:shd w:val="clear" w:color="auto" w:fill="F2F2F2"/>
            <w:vAlign w:val="center"/>
            <w:hideMark/>
          </w:tcPr>
          <w:p w14:paraId="6D6BCACC"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w:t>
            </w:r>
          </w:p>
        </w:tc>
        <w:tc>
          <w:tcPr>
            <w:tcW w:w="561" w:type="pct"/>
            <w:vMerge/>
            <w:tcBorders>
              <w:top w:val="nil"/>
              <w:left w:val="single" w:sz="8" w:space="0" w:color="auto"/>
              <w:bottom w:val="single" w:sz="8" w:space="0" w:color="000000"/>
              <w:right w:val="single" w:sz="8" w:space="0" w:color="auto"/>
            </w:tcBorders>
            <w:vAlign w:val="center"/>
            <w:hideMark/>
          </w:tcPr>
          <w:p w14:paraId="5B4FE15A" w14:textId="77777777" w:rsidR="001F1EF5" w:rsidRDefault="001F1EF5" w:rsidP="00ED617A">
            <w:pPr>
              <w:spacing w:after="0"/>
              <w:rPr>
                <w:rFonts w:ascii="Arial" w:eastAsia="Times New Roman" w:hAnsi="Arial" w:cs="Arial"/>
                <w:b/>
                <w:bCs/>
                <w:color w:val="000000"/>
                <w:sz w:val="16"/>
                <w:szCs w:val="16"/>
                <w:lang w:eastAsia="en-GB"/>
              </w:rPr>
            </w:pPr>
          </w:p>
        </w:tc>
        <w:tc>
          <w:tcPr>
            <w:tcW w:w="363" w:type="pct"/>
            <w:tcBorders>
              <w:top w:val="nil"/>
              <w:left w:val="nil"/>
              <w:bottom w:val="single" w:sz="8" w:space="0" w:color="auto"/>
              <w:right w:val="nil"/>
            </w:tcBorders>
            <w:shd w:val="clear" w:color="auto" w:fill="F2F2F2"/>
            <w:vAlign w:val="center"/>
            <w:hideMark/>
          </w:tcPr>
          <w:p w14:paraId="2285339B"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13/14</w:t>
            </w:r>
          </w:p>
        </w:tc>
        <w:tc>
          <w:tcPr>
            <w:tcW w:w="362" w:type="pct"/>
            <w:tcBorders>
              <w:top w:val="nil"/>
              <w:left w:val="single" w:sz="8" w:space="0" w:color="auto"/>
              <w:bottom w:val="single" w:sz="8" w:space="0" w:color="auto"/>
              <w:right w:val="nil"/>
            </w:tcBorders>
            <w:shd w:val="clear" w:color="auto" w:fill="F2F2F2"/>
            <w:vAlign w:val="center"/>
            <w:hideMark/>
          </w:tcPr>
          <w:p w14:paraId="6B198916"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14/15</w:t>
            </w:r>
          </w:p>
        </w:tc>
        <w:tc>
          <w:tcPr>
            <w:tcW w:w="363" w:type="pct"/>
            <w:tcBorders>
              <w:top w:val="nil"/>
              <w:left w:val="single" w:sz="8" w:space="0" w:color="auto"/>
              <w:bottom w:val="single" w:sz="8" w:space="0" w:color="auto"/>
              <w:right w:val="nil"/>
            </w:tcBorders>
            <w:shd w:val="clear" w:color="auto" w:fill="F2F2F2"/>
            <w:vAlign w:val="center"/>
            <w:hideMark/>
          </w:tcPr>
          <w:p w14:paraId="4DAD11A5"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15/16</w:t>
            </w:r>
          </w:p>
        </w:tc>
        <w:tc>
          <w:tcPr>
            <w:tcW w:w="362" w:type="pct"/>
            <w:tcBorders>
              <w:top w:val="nil"/>
              <w:left w:val="single" w:sz="8" w:space="0" w:color="auto"/>
              <w:bottom w:val="single" w:sz="8" w:space="0" w:color="auto"/>
              <w:right w:val="nil"/>
            </w:tcBorders>
            <w:shd w:val="clear" w:color="auto" w:fill="F2F2F2"/>
            <w:vAlign w:val="center"/>
            <w:hideMark/>
          </w:tcPr>
          <w:p w14:paraId="038ABC24"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16/17</w:t>
            </w:r>
          </w:p>
        </w:tc>
        <w:tc>
          <w:tcPr>
            <w:tcW w:w="362" w:type="pct"/>
            <w:tcBorders>
              <w:top w:val="nil"/>
              <w:left w:val="single" w:sz="8" w:space="0" w:color="auto"/>
              <w:bottom w:val="single" w:sz="8" w:space="0" w:color="auto"/>
              <w:right w:val="nil"/>
            </w:tcBorders>
            <w:shd w:val="clear" w:color="auto" w:fill="F2F2F2"/>
            <w:vAlign w:val="center"/>
            <w:hideMark/>
          </w:tcPr>
          <w:p w14:paraId="7C60525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17/18</w:t>
            </w:r>
          </w:p>
        </w:tc>
        <w:tc>
          <w:tcPr>
            <w:tcW w:w="363" w:type="pct"/>
            <w:tcBorders>
              <w:top w:val="nil"/>
              <w:left w:val="single" w:sz="8" w:space="0" w:color="auto"/>
              <w:bottom w:val="single" w:sz="8" w:space="0" w:color="auto"/>
              <w:right w:val="single" w:sz="8" w:space="0" w:color="auto"/>
            </w:tcBorders>
            <w:shd w:val="clear" w:color="auto" w:fill="F2F2F2"/>
            <w:vAlign w:val="center"/>
            <w:hideMark/>
          </w:tcPr>
          <w:p w14:paraId="1643ECB0"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18/19</w:t>
            </w:r>
          </w:p>
        </w:tc>
        <w:tc>
          <w:tcPr>
            <w:tcW w:w="362" w:type="pct"/>
            <w:tcBorders>
              <w:top w:val="nil"/>
              <w:left w:val="single" w:sz="8" w:space="0" w:color="auto"/>
              <w:bottom w:val="single" w:sz="8" w:space="0" w:color="auto"/>
              <w:right w:val="single" w:sz="8" w:space="0" w:color="auto"/>
            </w:tcBorders>
            <w:shd w:val="clear" w:color="auto" w:fill="F2F2F2"/>
            <w:vAlign w:val="center"/>
            <w:hideMark/>
          </w:tcPr>
          <w:p w14:paraId="46DBD302"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19/20</w:t>
            </w:r>
          </w:p>
        </w:tc>
        <w:tc>
          <w:tcPr>
            <w:tcW w:w="362" w:type="pct"/>
            <w:tcBorders>
              <w:top w:val="nil"/>
              <w:left w:val="single" w:sz="8" w:space="0" w:color="auto"/>
              <w:bottom w:val="single" w:sz="8" w:space="0" w:color="auto"/>
              <w:right w:val="single" w:sz="8" w:space="0" w:color="auto"/>
            </w:tcBorders>
            <w:shd w:val="clear" w:color="auto" w:fill="F2F2F2"/>
            <w:vAlign w:val="center"/>
          </w:tcPr>
          <w:p w14:paraId="7A3AE0F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20/21</w:t>
            </w:r>
          </w:p>
        </w:tc>
        <w:tc>
          <w:tcPr>
            <w:tcW w:w="358" w:type="pct"/>
            <w:tcBorders>
              <w:top w:val="nil"/>
              <w:left w:val="single" w:sz="8" w:space="0" w:color="auto"/>
              <w:bottom w:val="single" w:sz="8" w:space="0" w:color="auto"/>
              <w:right w:val="single" w:sz="4" w:space="0" w:color="auto"/>
            </w:tcBorders>
            <w:shd w:val="clear" w:color="auto" w:fill="F2F2F2"/>
            <w:vAlign w:val="center"/>
          </w:tcPr>
          <w:p w14:paraId="3FD583DA"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21/22</w:t>
            </w:r>
          </w:p>
        </w:tc>
      </w:tr>
      <w:tr w:rsidR="001F1EF5" w14:paraId="7AF0BB37" w14:textId="77777777" w:rsidTr="00B67F61">
        <w:trPr>
          <w:trHeight w:val="315"/>
        </w:trPr>
        <w:tc>
          <w:tcPr>
            <w:tcW w:w="1183" w:type="pct"/>
            <w:tcBorders>
              <w:top w:val="nil"/>
              <w:left w:val="single" w:sz="4" w:space="0" w:color="auto"/>
              <w:bottom w:val="single" w:sz="4" w:space="0" w:color="auto"/>
              <w:right w:val="single" w:sz="8" w:space="0" w:color="auto"/>
            </w:tcBorders>
            <w:shd w:val="clear" w:color="auto" w:fill="F2F2F2"/>
            <w:vAlign w:val="center"/>
            <w:hideMark/>
          </w:tcPr>
          <w:p w14:paraId="3AA78BD2" w14:textId="77777777" w:rsidR="001F1EF5"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w:t>
            </w:r>
            <w:proofErr w:type="gramStart"/>
            <w:r>
              <w:rPr>
                <w:rFonts w:ascii="Arial" w:eastAsia="Times New Roman" w:hAnsi="Arial" w:cs="Arial"/>
                <w:color w:val="000000"/>
                <w:sz w:val="16"/>
                <w:szCs w:val="16"/>
                <w:lang w:eastAsia="en-GB"/>
              </w:rPr>
              <w:t>refers</w:t>
            </w:r>
            <w:proofErr w:type="gramEnd"/>
            <w:r>
              <w:rPr>
                <w:rFonts w:ascii="Arial" w:eastAsia="Times New Roman" w:hAnsi="Arial" w:cs="Arial"/>
                <w:color w:val="000000"/>
                <w:sz w:val="16"/>
                <w:szCs w:val="16"/>
                <w:lang w:eastAsia="en-GB"/>
              </w:rPr>
              <w:t xml:space="preserve"> to academic year</w:t>
            </w:r>
          </w:p>
        </w:tc>
        <w:tc>
          <w:tcPr>
            <w:tcW w:w="561" w:type="pct"/>
            <w:vMerge/>
            <w:tcBorders>
              <w:top w:val="nil"/>
              <w:left w:val="single" w:sz="8" w:space="0" w:color="auto"/>
              <w:bottom w:val="single" w:sz="4" w:space="0" w:color="auto"/>
              <w:right w:val="single" w:sz="8" w:space="0" w:color="auto"/>
            </w:tcBorders>
            <w:vAlign w:val="center"/>
            <w:hideMark/>
          </w:tcPr>
          <w:p w14:paraId="48ABC789" w14:textId="77777777" w:rsidR="001F1EF5" w:rsidRDefault="001F1EF5" w:rsidP="00ED617A">
            <w:pPr>
              <w:spacing w:after="0"/>
              <w:rPr>
                <w:rFonts w:ascii="Arial" w:eastAsia="Times New Roman" w:hAnsi="Arial" w:cs="Arial"/>
                <w:b/>
                <w:bCs/>
                <w:color w:val="000000"/>
                <w:sz w:val="16"/>
                <w:szCs w:val="16"/>
                <w:lang w:eastAsia="en-GB"/>
              </w:rPr>
            </w:pPr>
          </w:p>
        </w:tc>
        <w:tc>
          <w:tcPr>
            <w:tcW w:w="363" w:type="pct"/>
            <w:tcBorders>
              <w:top w:val="nil"/>
              <w:left w:val="nil"/>
              <w:bottom w:val="single" w:sz="4" w:space="0" w:color="auto"/>
              <w:right w:val="single" w:sz="8" w:space="0" w:color="auto"/>
            </w:tcBorders>
            <w:shd w:val="clear" w:color="auto" w:fill="F2F2F2"/>
            <w:vAlign w:val="center"/>
            <w:hideMark/>
          </w:tcPr>
          <w:p w14:paraId="0112C13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single" w:sz="4" w:space="0" w:color="auto"/>
              <w:right w:val="single" w:sz="8" w:space="0" w:color="auto"/>
            </w:tcBorders>
            <w:shd w:val="clear" w:color="auto" w:fill="F2F2F2"/>
            <w:vAlign w:val="center"/>
            <w:hideMark/>
          </w:tcPr>
          <w:p w14:paraId="478B2AC7"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3" w:type="pct"/>
            <w:tcBorders>
              <w:top w:val="nil"/>
              <w:left w:val="nil"/>
              <w:bottom w:val="single" w:sz="4" w:space="0" w:color="auto"/>
              <w:right w:val="single" w:sz="8" w:space="0" w:color="auto"/>
            </w:tcBorders>
            <w:shd w:val="clear" w:color="auto" w:fill="F2F2F2"/>
            <w:vAlign w:val="center"/>
            <w:hideMark/>
          </w:tcPr>
          <w:p w14:paraId="40F4FF4B"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single" w:sz="4" w:space="0" w:color="auto"/>
              <w:right w:val="single" w:sz="8" w:space="0" w:color="auto"/>
            </w:tcBorders>
            <w:shd w:val="clear" w:color="auto" w:fill="F2F2F2"/>
            <w:vAlign w:val="center"/>
            <w:hideMark/>
          </w:tcPr>
          <w:p w14:paraId="11F2ADE0"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single" w:sz="4" w:space="0" w:color="auto"/>
              <w:right w:val="single" w:sz="8" w:space="0" w:color="auto"/>
            </w:tcBorders>
            <w:shd w:val="clear" w:color="auto" w:fill="F2F2F2"/>
            <w:vAlign w:val="center"/>
            <w:hideMark/>
          </w:tcPr>
          <w:p w14:paraId="260524BF"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3" w:type="pct"/>
            <w:tcBorders>
              <w:top w:val="nil"/>
              <w:left w:val="nil"/>
              <w:bottom w:val="single" w:sz="4" w:space="0" w:color="auto"/>
              <w:right w:val="single" w:sz="8" w:space="0" w:color="auto"/>
            </w:tcBorders>
            <w:shd w:val="clear" w:color="auto" w:fill="F2F2F2"/>
            <w:vAlign w:val="center"/>
            <w:hideMark/>
          </w:tcPr>
          <w:p w14:paraId="2E5F79F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Actual</w:t>
            </w:r>
          </w:p>
        </w:tc>
        <w:tc>
          <w:tcPr>
            <w:tcW w:w="362" w:type="pct"/>
            <w:tcBorders>
              <w:top w:val="nil"/>
              <w:left w:val="nil"/>
              <w:bottom w:val="single" w:sz="4" w:space="0" w:color="auto"/>
              <w:right w:val="single" w:sz="8" w:space="0" w:color="auto"/>
            </w:tcBorders>
            <w:shd w:val="clear" w:color="auto" w:fill="F2F2F2"/>
            <w:vAlign w:val="center"/>
            <w:hideMark/>
          </w:tcPr>
          <w:p w14:paraId="1FD6FCFB"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N/a</w:t>
            </w:r>
          </w:p>
        </w:tc>
        <w:tc>
          <w:tcPr>
            <w:tcW w:w="362" w:type="pct"/>
            <w:tcBorders>
              <w:top w:val="nil"/>
              <w:left w:val="nil"/>
              <w:bottom w:val="single" w:sz="4" w:space="0" w:color="auto"/>
              <w:right w:val="single" w:sz="8" w:space="0" w:color="auto"/>
            </w:tcBorders>
            <w:shd w:val="clear" w:color="auto" w:fill="F2F2F2"/>
            <w:vAlign w:val="center"/>
          </w:tcPr>
          <w:p w14:paraId="15B3F384"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N/a</w:t>
            </w:r>
          </w:p>
        </w:tc>
        <w:tc>
          <w:tcPr>
            <w:tcW w:w="358" w:type="pct"/>
            <w:tcBorders>
              <w:top w:val="nil"/>
              <w:left w:val="nil"/>
              <w:bottom w:val="single" w:sz="4" w:space="0" w:color="auto"/>
              <w:right w:val="single" w:sz="4" w:space="0" w:color="auto"/>
            </w:tcBorders>
            <w:shd w:val="clear" w:color="auto" w:fill="F2F2F2"/>
            <w:vAlign w:val="center"/>
          </w:tcPr>
          <w:p w14:paraId="3391C9A0"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N/a</w:t>
            </w:r>
          </w:p>
        </w:tc>
      </w:tr>
      <w:tr w:rsidR="001F1EF5" w:rsidRPr="00CB4A2A" w14:paraId="791B68E5" w14:textId="77777777" w:rsidTr="00B67F61">
        <w:trPr>
          <w:trHeight w:val="900"/>
        </w:trPr>
        <w:tc>
          <w:tcPr>
            <w:tcW w:w="1183" w:type="pct"/>
            <w:tcBorders>
              <w:top w:val="nil"/>
              <w:left w:val="single" w:sz="8" w:space="0" w:color="auto"/>
              <w:bottom w:val="nil"/>
              <w:right w:val="single" w:sz="8" w:space="0" w:color="auto"/>
            </w:tcBorders>
            <w:vAlign w:val="center"/>
            <w:hideMark/>
          </w:tcPr>
          <w:p w14:paraId="004B20C0"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Number of interventions/ activities promoting City Deal and construction career opportunities with:</w:t>
            </w:r>
          </w:p>
        </w:tc>
        <w:tc>
          <w:tcPr>
            <w:tcW w:w="1286" w:type="pct"/>
            <w:gridSpan w:val="3"/>
            <w:vMerge w:val="restart"/>
            <w:tcBorders>
              <w:top w:val="nil"/>
              <w:left w:val="single" w:sz="8" w:space="0" w:color="auto"/>
              <w:right w:val="single" w:sz="8" w:space="0" w:color="auto"/>
            </w:tcBorders>
            <w:shd w:val="clear" w:color="auto" w:fill="D9D9D9" w:themeFill="background1" w:themeFillShade="D9"/>
            <w:vAlign w:val="center"/>
            <w:hideMark/>
          </w:tcPr>
          <w:p w14:paraId="5D340B4A" w14:textId="77777777" w:rsidR="001F1EF5" w:rsidRPr="00F65D44" w:rsidRDefault="001F1EF5" w:rsidP="00ED617A">
            <w:pPr>
              <w:spacing w:after="0" w:line="240" w:lineRule="auto"/>
              <w:jc w:val="center"/>
              <w:rPr>
                <w:rFonts w:ascii="Arial" w:eastAsia="Times New Roman" w:hAnsi="Arial" w:cs="Arial"/>
                <w:b/>
                <w:bCs/>
                <w:color w:val="000000"/>
                <w:sz w:val="16"/>
                <w:szCs w:val="16"/>
                <w:lang w:eastAsia="en-GB"/>
              </w:rPr>
            </w:pPr>
            <w:r w:rsidRPr="00F65D44">
              <w:rPr>
                <w:rFonts w:ascii="Arial" w:eastAsia="Times New Roman" w:hAnsi="Arial" w:cs="Arial"/>
                <w:b/>
                <w:bCs/>
                <w:color w:val="000000"/>
                <w:sz w:val="16"/>
                <w:szCs w:val="16"/>
                <w:lang w:eastAsia="en-GB"/>
              </w:rPr>
              <w:t>Unavailable</w:t>
            </w:r>
          </w:p>
        </w:tc>
        <w:tc>
          <w:tcPr>
            <w:tcW w:w="363" w:type="pct"/>
            <w:tcBorders>
              <w:top w:val="nil"/>
              <w:left w:val="nil"/>
              <w:bottom w:val="nil"/>
              <w:right w:val="single" w:sz="8" w:space="0" w:color="auto"/>
            </w:tcBorders>
            <w:noWrap/>
            <w:vAlign w:val="bottom"/>
            <w:hideMark/>
          </w:tcPr>
          <w:p w14:paraId="30A1EFCD"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2" w:type="pct"/>
            <w:tcBorders>
              <w:top w:val="nil"/>
              <w:left w:val="nil"/>
              <w:bottom w:val="nil"/>
              <w:right w:val="single" w:sz="8" w:space="0" w:color="auto"/>
            </w:tcBorders>
            <w:noWrap/>
            <w:vAlign w:val="bottom"/>
            <w:hideMark/>
          </w:tcPr>
          <w:p w14:paraId="4F794C23"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2" w:type="pct"/>
            <w:tcBorders>
              <w:top w:val="nil"/>
              <w:left w:val="nil"/>
              <w:bottom w:val="nil"/>
              <w:right w:val="single" w:sz="8" w:space="0" w:color="auto"/>
            </w:tcBorders>
            <w:noWrap/>
            <w:vAlign w:val="bottom"/>
            <w:hideMark/>
          </w:tcPr>
          <w:p w14:paraId="7B6AAB2F"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3" w:type="pct"/>
            <w:tcBorders>
              <w:top w:val="nil"/>
              <w:left w:val="nil"/>
              <w:bottom w:val="nil"/>
              <w:right w:val="single" w:sz="8" w:space="0" w:color="auto"/>
            </w:tcBorders>
            <w:noWrap/>
            <w:vAlign w:val="bottom"/>
            <w:hideMark/>
          </w:tcPr>
          <w:p w14:paraId="46362D6C"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1082" w:type="pct"/>
            <w:gridSpan w:val="3"/>
            <w:vMerge w:val="restart"/>
            <w:tcBorders>
              <w:top w:val="nil"/>
              <w:left w:val="nil"/>
              <w:right w:val="single" w:sz="8" w:space="0" w:color="auto"/>
            </w:tcBorders>
            <w:shd w:val="clear" w:color="auto" w:fill="D9D9D9" w:themeFill="background1" w:themeFillShade="D9"/>
            <w:vAlign w:val="center"/>
          </w:tcPr>
          <w:p w14:paraId="2779721C" w14:textId="77777777" w:rsidR="001F1EF5" w:rsidRPr="00CB4A2A" w:rsidRDefault="001F1EF5" w:rsidP="00ED617A">
            <w:pPr>
              <w:spacing w:after="0" w:line="240" w:lineRule="auto"/>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Data no longer reported </w:t>
            </w:r>
          </w:p>
        </w:tc>
      </w:tr>
      <w:tr w:rsidR="001F1EF5" w14:paraId="654FB05D" w14:textId="77777777" w:rsidTr="00B67F61">
        <w:trPr>
          <w:trHeight w:val="300"/>
        </w:trPr>
        <w:tc>
          <w:tcPr>
            <w:tcW w:w="1183" w:type="pct"/>
            <w:tcBorders>
              <w:top w:val="nil"/>
              <w:left w:val="single" w:sz="8" w:space="0" w:color="auto"/>
              <w:bottom w:val="nil"/>
              <w:right w:val="single" w:sz="8" w:space="0" w:color="auto"/>
            </w:tcBorders>
            <w:vAlign w:val="center"/>
            <w:hideMark/>
          </w:tcPr>
          <w:p w14:paraId="2B941965" w14:textId="77777777" w:rsidR="001F1EF5" w:rsidRPr="00520E5D"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A. </w:t>
            </w:r>
            <w:r w:rsidRPr="00520E5D">
              <w:rPr>
                <w:rFonts w:ascii="Arial" w:eastAsia="Times New Roman" w:hAnsi="Arial" w:cs="Arial"/>
                <w:color w:val="000000"/>
                <w:sz w:val="16"/>
                <w:szCs w:val="16"/>
                <w:lang w:eastAsia="en-GB"/>
              </w:rPr>
              <w:t>Young People</w:t>
            </w:r>
          </w:p>
        </w:tc>
        <w:tc>
          <w:tcPr>
            <w:tcW w:w="1286" w:type="pct"/>
            <w:gridSpan w:val="3"/>
            <w:vMerge/>
            <w:tcBorders>
              <w:left w:val="single" w:sz="8" w:space="0" w:color="auto"/>
              <w:right w:val="single" w:sz="8" w:space="0" w:color="auto"/>
            </w:tcBorders>
            <w:shd w:val="clear" w:color="auto" w:fill="D9D9D9" w:themeFill="background1" w:themeFillShade="D9"/>
            <w:vAlign w:val="center"/>
            <w:hideMark/>
          </w:tcPr>
          <w:p w14:paraId="6B9F0970" w14:textId="77777777" w:rsidR="001F1EF5" w:rsidRDefault="001F1EF5" w:rsidP="00ED617A">
            <w:pPr>
              <w:spacing w:after="0"/>
              <w:rPr>
                <w:rFonts w:ascii="Arial" w:eastAsia="Times New Roman" w:hAnsi="Arial" w:cs="Arial"/>
                <w:color w:val="000000"/>
                <w:sz w:val="16"/>
                <w:szCs w:val="16"/>
                <w:lang w:eastAsia="en-GB"/>
              </w:rPr>
            </w:pPr>
          </w:p>
        </w:tc>
        <w:tc>
          <w:tcPr>
            <w:tcW w:w="363" w:type="pct"/>
            <w:tcBorders>
              <w:top w:val="nil"/>
              <w:left w:val="nil"/>
              <w:bottom w:val="nil"/>
              <w:right w:val="single" w:sz="8" w:space="0" w:color="auto"/>
            </w:tcBorders>
            <w:vAlign w:val="center"/>
            <w:hideMark/>
          </w:tcPr>
          <w:p w14:paraId="4F39EE0B"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660</w:t>
            </w:r>
          </w:p>
        </w:tc>
        <w:tc>
          <w:tcPr>
            <w:tcW w:w="362" w:type="pct"/>
            <w:tcBorders>
              <w:top w:val="nil"/>
              <w:left w:val="nil"/>
              <w:bottom w:val="nil"/>
              <w:right w:val="single" w:sz="8" w:space="0" w:color="auto"/>
            </w:tcBorders>
            <w:vAlign w:val="center"/>
            <w:hideMark/>
          </w:tcPr>
          <w:p w14:paraId="7C6E0C9C"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760</w:t>
            </w:r>
          </w:p>
        </w:tc>
        <w:tc>
          <w:tcPr>
            <w:tcW w:w="362" w:type="pct"/>
            <w:tcBorders>
              <w:top w:val="nil"/>
              <w:left w:val="nil"/>
              <w:bottom w:val="nil"/>
              <w:right w:val="single" w:sz="8" w:space="0" w:color="auto"/>
            </w:tcBorders>
            <w:vAlign w:val="center"/>
            <w:hideMark/>
          </w:tcPr>
          <w:p w14:paraId="24E6BD1A"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4,048</w:t>
            </w:r>
          </w:p>
        </w:tc>
        <w:tc>
          <w:tcPr>
            <w:tcW w:w="363" w:type="pct"/>
            <w:tcBorders>
              <w:top w:val="nil"/>
              <w:left w:val="nil"/>
              <w:bottom w:val="nil"/>
              <w:right w:val="single" w:sz="8" w:space="0" w:color="auto"/>
            </w:tcBorders>
            <w:vAlign w:val="center"/>
            <w:hideMark/>
          </w:tcPr>
          <w:p w14:paraId="42F14ECF"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5,117</w:t>
            </w:r>
          </w:p>
        </w:tc>
        <w:tc>
          <w:tcPr>
            <w:tcW w:w="1082" w:type="pct"/>
            <w:gridSpan w:val="3"/>
            <w:vMerge/>
            <w:tcBorders>
              <w:left w:val="nil"/>
              <w:right w:val="single" w:sz="8" w:space="0" w:color="auto"/>
            </w:tcBorders>
            <w:shd w:val="clear" w:color="auto" w:fill="D9D9D9" w:themeFill="background1" w:themeFillShade="D9"/>
            <w:vAlign w:val="center"/>
          </w:tcPr>
          <w:p w14:paraId="3E69362A" w14:textId="77777777" w:rsidR="001F1EF5" w:rsidRDefault="001F1EF5" w:rsidP="00ED617A">
            <w:pPr>
              <w:spacing w:after="0"/>
              <w:rPr>
                <w:rFonts w:ascii="Calibri" w:eastAsia="Times New Roman" w:hAnsi="Calibri" w:cs="Calibri"/>
                <w:color w:val="000000"/>
                <w:sz w:val="16"/>
                <w:szCs w:val="16"/>
                <w:lang w:eastAsia="en-GB"/>
              </w:rPr>
            </w:pPr>
          </w:p>
        </w:tc>
      </w:tr>
      <w:tr w:rsidR="001F1EF5" w14:paraId="01CD05A4" w14:textId="77777777" w:rsidTr="00B67F61">
        <w:trPr>
          <w:trHeight w:val="450"/>
        </w:trPr>
        <w:tc>
          <w:tcPr>
            <w:tcW w:w="1183" w:type="pct"/>
            <w:tcBorders>
              <w:top w:val="nil"/>
              <w:left w:val="single" w:sz="8" w:space="0" w:color="auto"/>
              <w:bottom w:val="nil"/>
              <w:right w:val="single" w:sz="8" w:space="0" w:color="auto"/>
            </w:tcBorders>
            <w:vAlign w:val="center"/>
            <w:hideMark/>
          </w:tcPr>
          <w:p w14:paraId="3D2DC816" w14:textId="77777777" w:rsidR="001F1EF5"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 Teachers/IAG practitioners</w:t>
            </w:r>
          </w:p>
        </w:tc>
        <w:tc>
          <w:tcPr>
            <w:tcW w:w="1286" w:type="pct"/>
            <w:gridSpan w:val="3"/>
            <w:vMerge/>
            <w:tcBorders>
              <w:left w:val="single" w:sz="8" w:space="0" w:color="auto"/>
              <w:right w:val="single" w:sz="8" w:space="0" w:color="auto"/>
            </w:tcBorders>
            <w:shd w:val="clear" w:color="auto" w:fill="D9D9D9" w:themeFill="background1" w:themeFillShade="D9"/>
            <w:vAlign w:val="center"/>
            <w:hideMark/>
          </w:tcPr>
          <w:p w14:paraId="2061C7D7" w14:textId="77777777" w:rsidR="001F1EF5" w:rsidRDefault="001F1EF5" w:rsidP="00ED617A">
            <w:pPr>
              <w:spacing w:after="0"/>
              <w:rPr>
                <w:rFonts w:ascii="Arial" w:eastAsia="Times New Roman" w:hAnsi="Arial" w:cs="Arial"/>
                <w:color w:val="000000"/>
                <w:sz w:val="16"/>
                <w:szCs w:val="16"/>
                <w:lang w:eastAsia="en-GB"/>
              </w:rPr>
            </w:pPr>
          </w:p>
        </w:tc>
        <w:tc>
          <w:tcPr>
            <w:tcW w:w="363" w:type="pct"/>
            <w:tcBorders>
              <w:top w:val="nil"/>
              <w:left w:val="nil"/>
              <w:bottom w:val="nil"/>
              <w:right w:val="single" w:sz="8" w:space="0" w:color="auto"/>
            </w:tcBorders>
            <w:vAlign w:val="center"/>
            <w:hideMark/>
          </w:tcPr>
          <w:p w14:paraId="623C4065"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150</w:t>
            </w:r>
          </w:p>
        </w:tc>
        <w:tc>
          <w:tcPr>
            <w:tcW w:w="362" w:type="pct"/>
            <w:tcBorders>
              <w:top w:val="nil"/>
              <w:left w:val="nil"/>
              <w:bottom w:val="nil"/>
              <w:right w:val="single" w:sz="8" w:space="0" w:color="auto"/>
            </w:tcBorders>
            <w:vAlign w:val="center"/>
            <w:hideMark/>
          </w:tcPr>
          <w:p w14:paraId="3C7F52DC"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161</w:t>
            </w:r>
          </w:p>
        </w:tc>
        <w:tc>
          <w:tcPr>
            <w:tcW w:w="362" w:type="pct"/>
            <w:tcBorders>
              <w:top w:val="nil"/>
              <w:left w:val="nil"/>
              <w:bottom w:val="nil"/>
              <w:right w:val="single" w:sz="8" w:space="0" w:color="auto"/>
            </w:tcBorders>
            <w:vAlign w:val="center"/>
            <w:hideMark/>
          </w:tcPr>
          <w:p w14:paraId="7B9A9889"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133</w:t>
            </w:r>
          </w:p>
        </w:tc>
        <w:tc>
          <w:tcPr>
            <w:tcW w:w="363" w:type="pct"/>
            <w:tcBorders>
              <w:top w:val="nil"/>
              <w:left w:val="nil"/>
              <w:bottom w:val="nil"/>
              <w:right w:val="single" w:sz="8" w:space="0" w:color="auto"/>
            </w:tcBorders>
            <w:vAlign w:val="center"/>
            <w:hideMark/>
          </w:tcPr>
          <w:p w14:paraId="74DABF12"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251</w:t>
            </w:r>
          </w:p>
        </w:tc>
        <w:tc>
          <w:tcPr>
            <w:tcW w:w="1082" w:type="pct"/>
            <w:gridSpan w:val="3"/>
            <w:vMerge/>
            <w:tcBorders>
              <w:left w:val="nil"/>
              <w:right w:val="single" w:sz="8" w:space="0" w:color="auto"/>
            </w:tcBorders>
            <w:shd w:val="clear" w:color="auto" w:fill="D9D9D9" w:themeFill="background1" w:themeFillShade="D9"/>
            <w:vAlign w:val="center"/>
          </w:tcPr>
          <w:p w14:paraId="06E106C2" w14:textId="77777777" w:rsidR="001F1EF5" w:rsidRDefault="001F1EF5" w:rsidP="00ED617A">
            <w:pPr>
              <w:spacing w:after="0"/>
              <w:rPr>
                <w:rFonts w:ascii="Calibri" w:eastAsia="Times New Roman" w:hAnsi="Calibri" w:cs="Calibri"/>
                <w:color w:val="000000"/>
                <w:sz w:val="16"/>
                <w:szCs w:val="16"/>
                <w:lang w:eastAsia="en-GB"/>
              </w:rPr>
            </w:pPr>
          </w:p>
        </w:tc>
      </w:tr>
      <w:tr w:rsidR="001F1EF5" w14:paraId="2880FCD0" w14:textId="77777777" w:rsidTr="00B67F61">
        <w:trPr>
          <w:trHeight w:val="300"/>
        </w:trPr>
        <w:tc>
          <w:tcPr>
            <w:tcW w:w="1183" w:type="pct"/>
            <w:tcBorders>
              <w:top w:val="nil"/>
              <w:left w:val="single" w:sz="8" w:space="0" w:color="auto"/>
              <w:bottom w:val="nil"/>
              <w:right w:val="single" w:sz="8" w:space="0" w:color="auto"/>
            </w:tcBorders>
            <w:vAlign w:val="center"/>
            <w:hideMark/>
          </w:tcPr>
          <w:p w14:paraId="315E0ACB" w14:textId="77777777" w:rsidR="001F1EF5"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C. Parents</w:t>
            </w:r>
          </w:p>
        </w:tc>
        <w:tc>
          <w:tcPr>
            <w:tcW w:w="1286" w:type="pct"/>
            <w:gridSpan w:val="3"/>
            <w:vMerge/>
            <w:tcBorders>
              <w:left w:val="single" w:sz="8" w:space="0" w:color="auto"/>
              <w:right w:val="single" w:sz="8" w:space="0" w:color="auto"/>
            </w:tcBorders>
            <w:shd w:val="clear" w:color="auto" w:fill="D9D9D9" w:themeFill="background1" w:themeFillShade="D9"/>
            <w:vAlign w:val="center"/>
            <w:hideMark/>
          </w:tcPr>
          <w:p w14:paraId="7FD0D9A6" w14:textId="77777777" w:rsidR="001F1EF5" w:rsidRDefault="001F1EF5" w:rsidP="00ED617A">
            <w:pPr>
              <w:spacing w:after="0"/>
              <w:rPr>
                <w:rFonts w:ascii="Arial" w:eastAsia="Times New Roman" w:hAnsi="Arial" w:cs="Arial"/>
                <w:color w:val="000000"/>
                <w:sz w:val="16"/>
                <w:szCs w:val="16"/>
                <w:lang w:eastAsia="en-GB"/>
              </w:rPr>
            </w:pPr>
          </w:p>
        </w:tc>
        <w:tc>
          <w:tcPr>
            <w:tcW w:w="363" w:type="pct"/>
            <w:tcBorders>
              <w:top w:val="nil"/>
              <w:left w:val="nil"/>
              <w:bottom w:val="nil"/>
              <w:right w:val="single" w:sz="8" w:space="0" w:color="auto"/>
            </w:tcBorders>
            <w:vAlign w:val="center"/>
            <w:hideMark/>
          </w:tcPr>
          <w:p w14:paraId="0A3AA63A"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100</w:t>
            </w:r>
          </w:p>
        </w:tc>
        <w:tc>
          <w:tcPr>
            <w:tcW w:w="362" w:type="pct"/>
            <w:tcBorders>
              <w:top w:val="nil"/>
              <w:left w:val="nil"/>
              <w:bottom w:val="nil"/>
              <w:right w:val="single" w:sz="8" w:space="0" w:color="auto"/>
            </w:tcBorders>
            <w:vAlign w:val="center"/>
            <w:hideMark/>
          </w:tcPr>
          <w:p w14:paraId="0707A85C"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262</w:t>
            </w:r>
          </w:p>
        </w:tc>
        <w:tc>
          <w:tcPr>
            <w:tcW w:w="362" w:type="pct"/>
            <w:tcBorders>
              <w:top w:val="nil"/>
              <w:left w:val="nil"/>
              <w:bottom w:val="nil"/>
              <w:right w:val="single" w:sz="8" w:space="0" w:color="auto"/>
            </w:tcBorders>
            <w:vAlign w:val="center"/>
            <w:hideMark/>
          </w:tcPr>
          <w:p w14:paraId="4BD2881E"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471</w:t>
            </w:r>
          </w:p>
        </w:tc>
        <w:tc>
          <w:tcPr>
            <w:tcW w:w="363" w:type="pct"/>
            <w:tcBorders>
              <w:top w:val="nil"/>
              <w:left w:val="nil"/>
              <w:bottom w:val="nil"/>
              <w:right w:val="single" w:sz="8" w:space="0" w:color="auto"/>
            </w:tcBorders>
            <w:vAlign w:val="center"/>
            <w:hideMark/>
          </w:tcPr>
          <w:p w14:paraId="66BCD7AA"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337</w:t>
            </w:r>
          </w:p>
        </w:tc>
        <w:tc>
          <w:tcPr>
            <w:tcW w:w="1082" w:type="pct"/>
            <w:gridSpan w:val="3"/>
            <w:vMerge/>
            <w:tcBorders>
              <w:left w:val="nil"/>
              <w:right w:val="single" w:sz="8" w:space="0" w:color="auto"/>
            </w:tcBorders>
            <w:shd w:val="clear" w:color="auto" w:fill="D9D9D9" w:themeFill="background1" w:themeFillShade="D9"/>
            <w:vAlign w:val="center"/>
            <w:hideMark/>
          </w:tcPr>
          <w:p w14:paraId="75AA7CC1" w14:textId="77777777" w:rsidR="001F1EF5" w:rsidRDefault="001F1EF5" w:rsidP="00ED617A">
            <w:pPr>
              <w:spacing w:after="0"/>
              <w:rPr>
                <w:rFonts w:ascii="Calibri" w:eastAsia="Times New Roman" w:hAnsi="Calibri" w:cs="Calibri"/>
                <w:color w:val="000000"/>
                <w:sz w:val="16"/>
                <w:szCs w:val="16"/>
                <w:lang w:eastAsia="en-GB"/>
              </w:rPr>
            </w:pPr>
          </w:p>
        </w:tc>
      </w:tr>
      <w:tr w:rsidR="001F1EF5" w14:paraId="5BBCBFDC" w14:textId="77777777" w:rsidTr="00B67F61">
        <w:trPr>
          <w:trHeight w:val="300"/>
        </w:trPr>
        <w:tc>
          <w:tcPr>
            <w:tcW w:w="1183" w:type="pct"/>
            <w:tcBorders>
              <w:top w:val="nil"/>
              <w:left w:val="single" w:sz="8" w:space="0" w:color="auto"/>
              <w:bottom w:val="nil"/>
              <w:right w:val="single" w:sz="8" w:space="0" w:color="auto"/>
            </w:tcBorders>
            <w:vAlign w:val="center"/>
            <w:hideMark/>
          </w:tcPr>
          <w:p w14:paraId="776F8569" w14:textId="77777777" w:rsidR="001F1EF5"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D. Education Institutions</w:t>
            </w:r>
          </w:p>
        </w:tc>
        <w:tc>
          <w:tcPr>
            <w:tcW w:w="1286" w:type="pct"/>
            <w:gridSpan w:val="3"/>
            <w:vMerge/>
            <w:tcBorders>
              <w:left w:val="single" w:sz="8" w:space="0" w:color="auto"/>
              <w:right w:val="single" w:sz="8" w:space="0" w:color="auto"/>
            </w:tcBorders>
            <w:shd w:val="clear" w:color="auto" w:fill="D9D9D9" w:themeFill="background1" w:themeFillShade="D9"/>
            <w:vAlign w:val="center"/>
            <w:hideMark/>
          </w:tcPr>
          <w:p w14:paraId="0C5E02C9" w14:textId="77777777" w:rsidR="001F1EF5" w:rsidRDefault="001F1EF5" w:rsidP="00ED617A">
            <w:pPr>
              <w:spacing w:after="0"/>
              <w:rPr>
                <w:rFonts w:ascii="Arial" w:eastAsia="Times New Roman" w:hAnsi="Arial" w:cs="Arial"/>
                <w:color w:val="000000"/>
                <w:sz w:val="16"/>
                <w:szCs w:val="16"/>
                <w:lang w:eastAsia="en-GB"/>
              </w:rPr>
            </w:pPr>
          </w:p>
        </w:tc>
        <w:tc>
          <w:tcPr>
            <w:tcW w:w="363" w:type="pct"/>
            <w:tcBorders>
              <w:top w:val="nil"/>
              <w:left w:val="nil"/>
              <w:bottom w:val="nil"/>
              <w:right w:val="single" w:sz="8" w:space="0" w:color="auto"/>
            </w:tcBorders>
            <w:vAlign w:val="center"/>
            <w:hideMark/>
          </w:tcPr>
          <w:p w14:paraId="0D9D9364"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70</w:t>
            </w:r>
          </w:p>
        </w:tc>
        <w:tc>
          <w:tcPr>
            <w:tcW w:w="362" w:type="pct"/>
            <w:tcBorders>
              <w:top w:val="nil"/>
              <w:left w:val="nil"/>
              <w:bottom w:val="nil"/>
              <w:right w:val="single" w:sz="8" w:space="0" w:color="auto"/>
            </w:tcBorders>
            <w:vAlign w:val="center"/>
            <w:hideMark/>
          </w:tcPr>
          <w:p w14:paraId="712C29E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105</w:t>
            </w:r>
          </w:p>
        </w:tc>
        <w:tc>
          <w:tcPr>
            <w:tcW w:w="362" w:type="pct"/>
            <w:tcBorders>
              <w:top w:val="nil"/>
              <w:left w:val="nil"/>
              <w:bottom w:val="nil"/>
              <w:right w:val="single" w:sz="8" w:space="0" w:color="auto"/>
            </w:tcBorders>
            <w:vAlign w:val="center"/>
            <w:hideMark/>
          </w:tcPr>
          <w:p w14:paraId="4650AD88"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336</w:t>
            </w:r>
          </w:p>
        </w:tc>
        <w:tc>
          <w:tcPr>
            <w:tcW w:w="363" w:type="pct"/>
            <w:tcBorders>
              <w:top w:val="nil"/>
              <w:left w:val="nil"/>
              <w:bottom w:val="nil"/>
              <w:right w:val="single" w:sz="8" w:space="0" w:color="auto"/>
            </w:tcBorders>
            <w:vAlign w:val="center"/>
            <w:hideMark/>
          </w:tcPr>
          <w:p w14:paraId="201E04D0" w14:textId="77777777" w:rsidR="001F1EF5" w:rsidRDefault="001F1EF5" w:rsidP="00ED617A">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248</w:t>
            </w:r>
          </w:p>
        </w:tc>
        <w:tc>
          <w:tcPr>
            <w:tcW w:w="1082" w:type="pct"/>
            <w:gridSpan w:val="3"/>
            <w:vMerge/>
            <w:tcBorders>
              <w:left w:val="nil"/>
              <w:right w:val="single" w:sz="8" w:space="0" w:color="auto"/>
            </w:tcBorders>
            <w:shd w:val="clear" w:color="auto" w:fill="D9D9D9" w:themeFill="background1" w:themeFillShade="D9"/>
            <w:vAlign w:val="center"/>
            <w:hideMark/>
          </w:tcPr>
          <w:p w14:paraId="3AAB6133" w14:textId="77777777" w:rsidR="001F1EF5" w:rsidRDefault="001F1EF5" w:rsidP="00ED617A">
            <w:pPr>
              <w:spacing w:after="0"/>
              <w:rPr>
                <w:rFonts w:ascii="Calibri" w:eastAsia="Times New Roman" w:hAnsi="Calibri" w:cs="Calibri"/>
                <w:color w:val="000000"/>
                <w:sz w:val="16"/>
                <w:szCs w:val="16"/>
                <w:lang w:eastAsia="en-GB"/>
              </w:rPr>
            </w:pPr>
          </w:p>
        </w:tc>
      </w:tr>
      <w:tr w:rsidR="001F1EF5" w14:paraId="4FF48A36" w14:textId="77777777" w:rsidTr="00B67F61">
        <w:trPr>
          <w:trHeight w:val="465"/>
        </w:trPr>
        <w:tc>
          <w:tcPr>
            <w:tcW w:w="1183" w:type="pct"/>
            <w:tcBorders>
              <w:top w:val="nil"/>
              <w:left w:val="single" w:sz="8" w:space="0" w:color="auto"/>
              <w:bottom w:val="single" w:sz="8" w:space="0" w:color="auto"/>
              <w:right w:val="single" w:sz="8" w:space="0" w:color="auto"/>
            </w:tcBorders>
            <w:vAlign w:val="center"/>
            <w:hideMark/>
          </w:tcPr>
          <w:p w14:paraId="73194F0F" w14:textId="77777777" w:rsidR="001F1EF5" w:rsidRDefault="001F1EF5" w:rsidP="00ED617A">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Source:  Preston's College, Future U, </w:t>
            </w:r>
            <w:proofErr w:type="spellStart"/>
            <w:r>
              <w:rPr>
                <w:rFonts w:ascii="Arial" w:eastAsia="Times New Roman" w:hAnsi="Arial" w:cs="Arial"/>
                <w:color w:val="000000"/>
                <w:sz w:val="16"/>
                <w:szCs w:val="16"/>
                <w:lang w:eastAsia="en-GB"/>
              </w:rPr>
              <w:t>STEMFirst</w:t>
            </w:r>
            <w:proofErr w:type="spellEnd"/>
            <w:r>
              <w:rPr>
                <w:rFonts w:ascii="Arial" w:eastAsia="Times New Roman" w:hAnsi="Arial" w:cs="Arial"/>
                <w:color w:val="000000"/>
                <w:sz w:val="16"/>
                <w:szCs w:val="16"/>
                <w:lang w:eastAsia="en-GB"/>
              </w:rPr>
              <w:t xml:space="preserve"> and UCLAN</w:t>
            </w:r>
          </w:p>
        </w:tc>
        <w:tc>
          <w:tcPr>
            <w:tcW w:w="1286" w:type="pct"/>
            <w:gridSpan w:val="3"/>
            <w:vMerge/>
            <w:tcBorders>
              <w:left w:val="single" w:sz="8" w:space="0" w:color="auto"/>
              <w:bottom w:val="single" w:sz="8" w:space="0" w:color="000000"/>
              <w:right w:val="single" w:sz="8" w:space="0" w:color="auto"/>
            </w:tcBorders>
            <w:shd w:val="clear" w:color="auto" w:fill="D9D9D9" w:themeFill="background1" w:themeFillShade="D9"/>
            <w:vAlign w:val="center"/>
            <w:hideMark/>
          </w:tcPr>
          <w:p w14:paraId="2CFAE11F" w14:textId="77777777" w:rsidR="001F1EF5" w:rsidRDefault="001F1EF5" w:rsidP="00ED617A">
            <w:pPr>
              <w:spacing w:after="0"/>
              <w:rPr>
                <w:rFonts w:ascii="Arial" w:eastAsia="Times New Roman" w:hAnsi="Arial" w:cs="Arial"/>
                <w:color w:val="000000"/>
                <w:sz w:val="16"/>
                <w:szCs w:val="16"/>
                <w:lang w:eastAsia="en-GB"/>
              </w:rPr>
            </w:pPr>
          </w:p>
        </w:tc>
        <w:tc>
          <w:tcPr>
            <w:tcW w:w="363" w:type="pct"/>
            <w:tcBorders>
              <w:top w:val="nil"/>
              <w:left w:val="nil"/>
              <w:bottom w:val="single" w:sz="8" w:space="0" w:color="auto"/>
              <w:right w:val="single" w:sz="8" w:space="0" w:color="auto"/>
            </w:tcBorders>
            <w:hideMark/>
          </w:tcPr>
          <w:p w14:paraId="2F9B20AE"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2" w:type="pct"/>
            <w:tcBorders>
              <w:top w:val="nil"/>
              <w:left w:val="nil"/>
              <w:bottom w:val="single" w:sz="8" w:space="0" w:color="auto"/>
              <w:right w:val="single" w:sz="8" w:space="0" w:color="auto"/>
            </w:tcBorders>
            <w:hideMark/>
          </w:tcPr>
          <w:p w14:paraId="6D417273"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2" w:type="pct"/>
            <w:tcBorders>
              <w:top w:val="nil"/>
              <w:left w:val="nil"/>
              <w:bottom w:val="single" w:sz="8" w:space="0" w:color="auto"/>
              <w:right w:val="single" w:sz="8" w:space="0" w:color="auto"/>
            </w:tcBorders>
            <w:hideMark/>
          </w:tcPr>
          <w:p w14:paraId="02D08B4F"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363" w:type="pct"/>
            <w:tcBorders>
              <w:top w:val="nil"/>
              <w:left w:val="nil"/>
              <w:bottom w:val="single" w:sz="8" w:space="0" w:color="auto"/>
              <w:right w:val="single" w:sz="8" w:space="0" w:color="auto"/>
            </w:tcBorders>
            <w:hideMark/>
          </w:tcPr>
          <w:p w14:paraId="157D0DF9" w14:textId="77777777" w:rsidR="001F1EF5" w:rsidRDefault="001F1EF5" w:rsidP="00ED617A">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w:t>
            </w:r>
          </w:p>
        </w:tc>
        <w:tc>
          <w:tcPr>
            <w:tcW w:w="1082" w:type="pct"/>
            <w:gridSpan w:val="3"/>
            <w:vMerge/>
            <w:tcBorders>
              <w:left w:val="nil"/>
              <w:bottom w:val="single" w:sz="8" w:space="0" w:color="auto"/>
              <w:right w:val="single" w:sz="8" w:space="0" w:color="auto"/>
            </w:tcBorders>
            <w:vAlign w:val="center"/>
            <w:hideMark/>
          </w:tcPr>
          <w:p w14:paraId="798DCCBE" w14:textId="77777777" w:rsidR="001F1EF5" w:rsidRDefault="001F1EF5" w:rsidP="00ED617A">
            <w:pPr>
              <w:spacing w:after="0"/>
              <w:rPr>
                <w:rFonts w:ascii="Calibri" w:eastAsia="Times New Roman" w:hAnsi="Calibri" w:cs="Calibri"/>
                <w:color w:val="000000"/>
                <w:sz w:val="16"/>
                <w:szCs w:val="16"/>
                <w:lang w:eastAsia="en-GB"/>
              </w:rPr>
            </w:pPr>
          </w:p>
        </w:tc>
      </w:tr>
    </w:tbl>
    <w:p w14:paraId="736716C0" w14:textId="77777777" w:rsidR="001F1EF5" w:rsidRDefault="001F1EF5" w:rsidP="001F1EF5">
      <w:pPr>
        <w:pStyle w:val="ListParagraph"/>
        <w:spacing w:after="160" w:line="256" w:lineRule="auto"/>
        <w:ind w:left="360"/>
        <w:rPr>
          <w:rFonts w:ascii="Arial" w:hAnsi="Arial" w:cs="Arial"/>
          <w:sz w:val="24"/>
          <w:szCs w:val="24"/>
        </w:rPr>
      </w:pPr>
    </w:p>
    <w:p w14:paraId="54E0BB7C" w14:textId="77777777" w:rsidR="001F1EF5" w:rsidRDefault="001F1EF5" w:rsidP="001F1EF5">
      <w:pPr>
        <w:pStyle w:val="NoSpacing"/>
        <w:jc w:val="both"/>
        <w:rPr>
          <w:rFonts w:cs="Arial"/>
          <w:b/>
          <w:bCs/>
          <w:szCs w:val="24"/>
        </w:rPr>
      </w:pPr>
      <w:r w:rsidRPr="00545AFA">
        <w:rPr>
          <w:rFonts w:cs="Arial"/>
          <w:b/>
          <w:noProof/>
          <w:szCs w:val="24"/>
          <w:shd w:val="clear" w:color="auto" w:fill="BFBFBF" w:themeFill="background1" w:themeFillShade="BF"/>
        </w:rPr>
        <w:lastRenderedPageBreak/>
        <w:drawing>
          <wp:inline distT="0" distB="0" distL="0" distR="0" wp14:anchorId="3D4EB435" wp14:editId="0F641F7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856813" w14:textId="77777777" w:rsidR="001F1EF5" w:rsidRDefault="001F1EF5" w:rsidP="001F1EF5">
      <w:pPr>
        <w:pStyle w:val="NoSpacing"/>
        <w:jc w:val="both"/>
        <w:rPr>
          <w:rFonts w:cs="Arial"/>
          <w:b/>
          <w:bCs/>
          <w:szCs w:val="24"/>
        </w:rPr>
      </w:pPr>
    </w:p>
    <w:p w14:paraId="34F68D8D" w14:textId="77777777" w:rsidR="001F1EF5" w:rsidRDefault="001F1EF5" w:rsidP="001F1EF5">
      <w:pPr>
        <w:pStyle w:val="ListParagraph"/>
        <w:numPr>
          <w:ilvl w:val="0"/>
          <w:numId w:val="6"/>
        </w:numPr>
        <w:spacing w:after="160" w:line="256" w:lineRule="auto"/>
        <w:jc w:val="both"/>
        <w:rPr>
          <w:rFonts w:ascii="Arial" w:hAnsi="Arial" w:cs="Arial"/>
          <w:sz w:val="24"/>
          <w:szCs w:val="24"/>
        </w:rPr>
      </w:pPr>
      <w:r>
        <w:rPr>
          <w:rFonts w:ascii="Arial" w:hAnsi="Arial" w:cs="Arial"/>
          <w:sz w:val="24"/>
          <w:szCs w:val="24"/>
        </w:rPr>
        <w:t xml:space="preserve">The partial dataset shows that pre-pandemic, City Deal was a highly effective tool for supporting careers activity with a broad range of different groups benefiting from the approach.  </w:t>
      </w:r>
    </w:p>
    <w:p w14:paraId="71A11C3B" w14:textId="77777777" w:rsidR="001F1EF5" w:rsidRDefault="001F1EF5" w:rsidP="001F1EF5">
      <w:pPr>
        <w:pStyle w:val="ListParagraph"/>
        <w:spacing w:after="160" w:line="256" w:lineRule="auto"/>
        <w:ind w:left="360"/>
        <w:jc w:val="both"/>
        <w:rPr>
          <w:rFonts w:ascii="Arial" w:hAnsi="Arial" w:cs="Arial"/>
          <w:sz w:val="24"/>
          <w:szCs w:val="24"/>
        </w:rPr>
      </w:pPr>
    </w:p>
    <w:p w14:paraId="4CC5049C" w14:textId="2D303690" w:rsidR="001F1EF5" w:rsidRDefault="001F1EF5" w:rsidP="001F1EF5">
      <w:pPr>
        <w:pStyle w:val="ListParagraph"/>
        <w:numPr>
          <w:ilvl w:val="0"/>
          <w:numId w:val="6"/>
        </w:numPr>
        <w:spacing w:after="160" w:line="256" w:lineRule="auto"/>
        <w:jc w:val="both"/>
        <w:rPr>
          <w:rFonts w:ascii="Arial" w:hAnsi="Arial" w:cs="Arial"/>
          <w:sz w:val="24"/>
          <w:szCs w:val="24"/>
        </w:rPr>
      </w:pPr>
      <w:r>
        <w:rPr>
          <w:rFonts w:ascii="Arial" w:hAnsi="Arial" w:cs="Arial"/>
          <w:sz w:val="24"/>
          <w:szCs w:val="24"/>
        </w:rPr>
        <w:t xml:space="preserve">Careers Information, Advice and Guidance (IAG) opportunities delivered to young people grew from 660 in 2015/16 to 5,117 in 2018/19. Data also shows marked growth in IAG deliver to Teachers/IAG Practitioners (150 to 251), Parents (100 to 337) and Education Institutions (70 to 248). </w:t>
      </w:r>
    </w:p>
    <w:p w14:paraId="6FFA21D4" w14:textId="77777777" w:rsidR="004F6BCB" w:rsidRPr="004F6BCB" w:rsidRDefault="004F6BCB" w:rsidP="004F6BCB">
      <w:pPr>
        <w:pStyle w:val="ListParagraph"/>
        <w:rPr>
          <w:rFonts w:ascii="Arial" w:hAnsi="Arial" w:cs="Arial"/>
          <w:sz w:val="24"/>
          <w:szCs w:val="24"/>
        </w:rPr>
      </w:pPr>
    </w:p>
    <w:p w14:paraId="2DAA0E7A" w14:textId="4B2FB031" w:rsidR="004F6BCB" w:rsidRPr="00FF5B81" w:rsidRDefault="004F6BCB" w:rsidP="001F1EF5">
      <w:pPr>
        <w:pStyle w:val="ListParagraph"/>
        <w:numPr>
          <w:ilvl w:val="0"/>
          <w:numId w:val="6"/>
        </w:numPr>
        <w:spacing w:after="160" w:line="256" w:lineRule="auto"/>
        <w:jc w:val="both"/>
        <w:rPr>
          <w:rFonts w:ascii="Arial" w:hAnsi="Arial" w:cs="Arial"/>
          <w:sz w:val="24"/>
          <w:szCs w:val="24"/>
        </w:rPr>
      </w:pPr>
      <w:r w:rsidRPr="004F6BCB">
        <w:rPr>
          <w:rFonts w:ascii="Arial" w:hAnsi="Arial" w:cs="Arial"/>
          <w:sz w:val="24"/>
          <w:szCs w:val="24"/>
        </w:rPr>
        <w:t>The following period focused on tracking performance of careers provision in schools and colleges against the 8 Gatsby Benchmarks – the Dept for Education recognised measure of careers excellence. Two of the benchmarks are focused on employer encounters (number 5) and experiences of the workplace (number 6), which has been the focus of the work relating to City Deal, with more employers interacting with schools to inspire young people about careers in construction.  As a collective (30 schools and colleges), significant progress has been made. Against Benchmark 5, in 2019/20 schools and colleges were at an average of 60% rising to 96% in 2022/23, against Benchmark 6, in 2019/20 schools and colleges were at an average of 81%, rising to 90% in 2022/23.</w:t>
      </w:r>
    </w:p>
    <w:p w14:paraId="32DE9276" w14:textId="6704CA17" w:rsidR="001F1EF5" w:rsidRDefault="001F1EF5" w:rsidP="001F1EF5">
      <w:pPr>
        <w:spacing w:after="160" w:line="256" w:lineRule="auto"/>
        <w:rPr>
          <w:rFonts w:ascii="Arial" w:hAnsi="Arial" w:cs="Arial"/>
          <w:b/>
          <w:bCs/>
          <w:sz w:val="24"/>
          <w:szCs w:val="24"/>
        </w:rPr>
      </w:pPr>
    </w:p>
    <w:p w14:paraId="3EE5CF1D" w14:textId="0324B91F" w:rsidR="00F6363F" w:rsidRPr="00B67F61" w:rsidRDefault="001F1EF5" w:rsidP="001F1EF5">
      <w:pPr>
        <w:spacing w:after="160" w:line="256" w:lineRule="auto"/>
        <w:rPr>
          <w:rFonts w:ascii="Arial" w:hAnsi="Arial" w:cs="Arial"/>
          <w:b/>
          <w:bCs/>
          <w:sz w:val="24"/>
          <w:szCs w:val="24"/>
        </w:rPr>
      </w:pPr>
      <w:r w:rsidRPr="00B67F61">
        <w:rPr>
          <w:rFonts w:ascii="Arial" w:hAnsi="Arial" w:cs="Arial"/>
          <w:b/>
          <w:bCs/>
          <w:sz w:val="24"/>
          <w:szCs w:val="24"/>
        </w:rPr>
        <w:t>3.0</w:t>
      </w:r>
      <w:r w:rsidRPr="00B67F61">
        <w:rPr>
          <w:rFonts w:ascii="Arial" w:hAnsi="Arial" w:cs="Arial"/>
          <w:b/>
          <w:bCs/>
          <w:sz w:val="24"/>
          <w:szCs w:val="24"/>
        </w:rPr>
        <w:tab/>
        <w:t>Discontinued Higher Education Measures</w:t>
      </w:r>
    </w:p>
    <w:p w14:paraId="166FAC09" w14:textId="08AE0A17" w:rsidR="001F1EF5" w:rsidRDefault="001F1EF5" w:rsidP="00B67F61">
      <w:pPr>
        <w:spacing w:after="160" w:line="256" w:lineRule="auto"/>
        <w:jc w:val="both"/>
        <w:rPr>
          <w:rFonts w:ascii="Arial" w:hAnsi="Arial" w:cs="Arial"/>
          <w:sz w:val="24"/>
          <w:szCs w:val="24"/>
        </w:rPr>
      </w:pPr>
      <w:r>
        <w:rPr>
          <w:rFonts w:ascii="Arial" w:hAnsi="Arial" w:cs="Arial"/>
          <w:sz w:val="24"/>
          <w:szCs w:val="24"/>
        </w:rPr>
        <w:t xml:space="preserve">There were three Higher Education Measures within the portfolio of City Deal Employment Measures. Data has not been provided for these for </w:t>
      </w:r>
      <w:r w:rsidR="0024290F">
        <w:rPr>
          <w:rFonts w:ascii="Arial" w:hAnsi="Arial" w:cs="Arial"/>
          <w:sz w:val="24"/>
          <w:szCs w:val="24"/>
        </w:rPr>
        <w:t>up to six years</w:t>
      </w:r>
      <w:r>
        <w:rPr>
          <w:rFonts w:ascii="Arial" w:hAnsi="Arial" w:cs="Arial"/>
          <w:sz w:val="24"/>
          <w:szCs w:val="24"/>
        </w:rPr>
        <w:t xml:space="preserve">. As </w:t>
      </w:r>
      <w:r>
        <w:rPr>
          <w:rFonts w:ascii="Arial" w:hAnsi="Arial" w:cs="Arial"/>
          <w:sz w:val="24"/>
          <w:szCs w:val="24"/>
        </w:rPr>
        <w:lastRenderedPageBreak/>
        <w:t>such data tables and charts have not been included in the report. These measures were numbers of:</w:t>
      </w:r>
    </w:p>
    <w:p w14:paraId="77A4CC9A" w14:textId="2D395374" w:rsidR="00F6363F" w:rsidRPr="00B67F61" w:rsidRDefault="00F17B76" w:rsidP="00B67F61">
      <w:pPr>
        <w:pStyle w:val="ListParagraph"/>
        <w:numPr>
          <w:ilvl w:val="0"/>
          <w:numId w:val="17"/>
        </w:numPr>
        <w:spacing w:after="160" w:line="256" w:lineRule="auto"/>
        <w:rPr>
          <w:rFonts w:ascii="Arial" w:hAnsi="Arial" w:cs="Arial"/>
          <w:sz w:val="24"/>
          <w:szCs w:val="24"/>
        </w:rPr>
      </w:pPr>
      <w:r w:rsidRPr="00B67F61">
        <w:rPr>
          <w:rFonts w:ascii="Arial" w:hAnsi="Arial" w:cs="Arial"/>
          <w:sz w:val="24"/>
          <w:szCs w:val="24"/>
        </w:rPr>
        <w:t xml:space="preserve">HE leavers getting graduate jobs in </w:t>
      </w:r>
      <w:r w:rsidR="007D09E3" w:rsidRPr="00B67F61">
        <w:rPr>
          <w:rFonts w:ascii="Arial" w:hAnsi="Arial" w:cs="Arial"/>
          <w:sz w:val="24"/>
          <w:szCs w:val="24"/>
        </w:rPr>
        <w:t>C</w:t>
      </w:r>
      <w:r w:rsidRPr="00B67F61">
        <w:rPr>
          <w:rFonts w:ascii="Arial" w:hAnsi="Arial" w:cs="Arial"/>
          <w:sz w:val="24"/>
          <w:szCs w:val="24"/>
        </w:rPr>
        <w:t xml:space="preserve">onstruction and </w:t>
      </w:r>
      <w:r w:rsidR="007D09E3" w:rsidRPr="00B67F61">
        <w:rPr>
          <w:rFonts w:ascii="Arial" w:hAnsi="Arial" w:cs="Arial"/>
          <w:sz w:val="24"/>
          <w:szCs w:val="24"/>
        </w:rPr>
        <w:t>E</w:t>
      </w:r>
      <w:r w:rsidRPr="00B67F61">
        <w:rPr>
          <w:rFonts w:ascii="Arial" w:hAnsi="Arial" w:cs="Arial"/>
          <w:sz w:val="24"/>
          <w:szCs w:val="24"/>
        </w:rPr>
        <w:t>ngineering</w:t>
      </w:r>
      <w:r w:rsidR="00B67F61">
        <w:rPr>
          <w:rFonts w:ascii="Arial" w:hAnsi="Arial" w:cs="Arial"/>
          <w:sz w:val="24"/>
          <w:szCs w:val="24"/>
        </w:rPr>
        <w:t xml:space="preserve"> (discontinued in 2016/17)</w:t>
      </w:r>
    </w:p>
    <w:p w14:paraId="5B596C83" w14:textId="333ED8EE" w:rsidR="001F1EF5" w:rsidRPr="00B67F61" w:rsidRDefault="001F1EF5" w:rsidP="00B67F61">
      <w:pPr>
        <w:pStyle w:val="ListParagraph"/>
        <w:numPr>
          <w:ilvl w:val="0"/>
          <w:numId w:val="17"/>
        </w:numPr>
        <w:spacing w:after="160" w:line="256" w:lineRule="auto"/>
        <w:rPr>
          <w:rFonts w:ascii="Arial" w:hAnsi="Arial" w:cs="Arial"/>
          <w:sz w:val="24"/>
          <w:szCs w:val="24"/>
        </w:rPr>
      </w:pPr>
      <w:r w:rsidRPr="00B67F61">
        <w:rPr>
          <w:rFonts w:ascii="Arial" w:hAnsi="Arial" w:cs="Arial"/>
          <w:sz w:val="24"/>
          <w:szCs w:val="24"/>
        </w:rPr>
        <w:t>HE leavers getting graduate jobs in all sectors</w:t>
      </w:r>
      <w:r w:rsidR="00B67F61">
        <w:rPr>
          <w:rFonts w:ascii="Arial" w:hAnsi="Arial" w:cs="Arial"/>
          <w:sz w:val="24"/>
          <w:szCs w:val="24"/>
        </w:rPr>
        <w:t xml:space="preserve"> (discontinued in 2016/17)</w:t>
      </w:r>
    </w:p>
    <w:p w14:paraId="10A4C285" w14:textId="52CE9B28" w:rsidR="001F1EF5" w:rsidRPr="00B67F61" w:rsidRDefault="001F1EF5" w:rsidP="00B67F61">
      <w:pPr>
        <w:pStyle w:val="ListParagraph"/>
        <w:numPr>
          <w:ilvl w:val="0"/>
          <w:numId w:val="17"/>
        </w:numPr>
        <w:spacing w:after="160" w:line="256" w:lineRule="auto"/>
        <w:rPr>
          <w:rFonts w:ascii="Arial" w:hAnsi="Arial" w:cs="Arial"/>
          <w:sz w:val="24"/>
          <w:szCs w:val="24"/>
        </w:rPr>
      </w:pPr>
      <w:r w:rsidRPr="00B67F61">
        <w:rPr>
          <w:rFonts w:ascii="Arial" w:hAnsi="Arial" w:cs="Arial"/>
          <w:sz w:val="24"/>
          <w:szCs w:val="24"/>
        </w:rPr>
        <w:t>Graduate placements and internships across all sectors</w:t>
      </w:r>
      <w:r w:rsidR="0024290F">
        <w:rPr>
          <w:rFonts w:ascii="Arial" w:hAnsi="Arial" w:cs="Arial"/>
          <w:sz w:val="24"/>
          <w:szCs w:val="24"/>
        </w:rPr>
        <w:t xml:space="preserve"> (discontinued 2017/18)</w:t>
      </w:r>
    </w:p>
    <w:p w14:paraId="7C7C615C" w14:textId="328043B8" w:rsidR="001F1EF5" w:rsidRPr="00B67F61" w:rsidRDefault="00B67F61" w:rsidP="00F6363F">
      <w:pPr>
        <w:spacing w:after="160" w:line="256" w:lineRule="auto"/>
        <w:rPr>
          <w:rFonts w:ascii="Arial" w:hAnsi="Arial" w:cs="Arial"/>
          <w:i/>
          <w:iCs/>
          <w:sz w:val="24"/>
          <w:szCs w:val="24"/>
        </w:rPr>
      </w:pPr>
      <w:r w:rsidRPr="00B67F61">
        <w:rPr>
          <w:rFonts w:ascii="Arial" w:hAnsi="Arial" w:cs="Arial"/>
          <w:i/>
          <w:iCs/>
          <w:sz w:val="24"/>
          <w:szCs w:val="24"/>
        </w:rPr>
        <w:t>3.1</w:t>
      </w:r>
      <w:r w:rsidRPr="00B67F61">
        <w:rPr>
          <w:rFonts w:ascii="Arial" w:hAnsi="Arial" w:cs="Arial"/>
          <w:i/>
          <w:iCs/>
          <w:sz w:val="24"/>
          <w:szCs w:val="24"/>
        </w:rPr>
        <w:tab/>
        <w:t xml:space="preserve"> Summary of discontinued HE Measures</w:t>
      </w:r>
    </w:p>
    <w:p w14:paraId="180295CB" w14:textId="1E61F899" w:rsidR="00BF444E" w:rsidRPr="0024290F" w:rsidRDefault="006A2732" w:rsidP="0024290F">
      <w:pPr>
        <w:pStyle w:val="ListParagraph"/>
        <w:numPr>
          <w:ilvl w:val="0"/>
          <w:numId w:val="6"/>
        </w:numPr>
        <w:spacing w:after="160"/>
        <w:jc w:val="both"/>
        <w:rPr>
          <w:rFonts w:ascii="Arial" w:hAnsi="Arial" w:cs="Arial"/>
          <w:sz w:val="24"/>
          <w:szCs w:val="24"/>
        </w:rPr>
      </w:pPr>
      <w:bookmarkStart w:id="2" w:name="_Hlk150946608"/>
      <w:r>
        <w:rPr>
          <w:rFonts w:ascii="Arial" w:hAnsi="Arial" w:cs="Arial"/>
          <w:sz w:val="24"/>
          <w:szCs w:val="24"/>
        </w:rPr>
        <w:t xml:space="preserve">Between 2012/13 and 2016/17, </w:t>
      </w:r>
      <w:r w:rsidR="00F86415">
        <w:rPr>
          <w:rFonts w:ascii="Arial" w:hAnsi="Arial" w:cs="Arial"/>
          <w:sz w:val="24"/>
          <w:szCs w:val="24"/>
        </w:rPr>
        <w:t>a</w:t>
      </w:r>
      <w:r w:rsidR="00A70F3B">
        <w:rPr>
          <w:rFonts w:ascii="Arial" w:hAnsi="Arial" w:cs="Arial"/>
          <w:sz w:val="24"/>
          <w:szCs w:val="24"/>
        </w:rPr>
        <w:t xml:space="preserve">n average </w:t>
      </w:r>
      <w:r w:rsidR="00F86415">
        <w:rPr>
          <w:rFonts w:ascii="Arial" w:hAnsi="Arial" w:cs="Arial"/>
          <w:sz w:val="24"/>
          <w:szCs w:val="24"/>
        </w:rPr>
        <w:t xml:space="preserve">of </w:t>
      </w:r>
      <w:r w:rsidR="00A70F3B">
        <w:rPr>
          <w:rFonts w:ascii="Arial" w:hAnsi="Arial" w:cs="Arial"/>
          <w:sz w:val="24"/>
          <w:szCs w:val="24"/>
        </w:rPr>
        <w:t xml:space="preserve">87 HE leavers </w:t>
      </w:r>
      <w:r w:rsidR="00CA7E28">
        <w:rPr>
          <w:rFonts w:ascii="Arial" w:hAnsi="Arial" w:cs="Arial"/>
          <w:sz w:val="24"/>
          <w:szCs w:val="24"/>
        </w:rPr>
        <w:t xml:space="preserve">per year </w:t>
      </w:r>
      <w:r>
        <w:rPr>
          <w:rFonts w:ascii="Arial" w:hAnsi="Arial" w:cs="Arial"/>
          <w:sz w:val="24"/>
          <w:szCs w:val="24"/>
        </w:rPr>
        <w:t xml:space="preserve">secured graduate </w:t>
      </w:r>
      <w:r w:rsidR="00F86415">
        <w:rPr>
          <w:rFonts w:ascii="Arial" w:hAnsi="Arial" w:cs="Arial"/>
          <w:sz w:val="24"/>
          <w:szCs w:val="24"/>
        </w:rPr>
        <w:t>jobs in Construction and Engineering</w:t>
      </w:r>
      <w:r w:rsidR="00983331">
        <w:rPr>
          <w:rFonts w:ascii="Arial" w:hAnsi="Arial" w:cs="Arial"/>
          <w:sz w:val="24"/>
          <w:szCs w:val="24"/>
        </w:rPr>
        <w:t xml:space="preserve">. Whilst the data trend did fluctuate </w:t>
      </w:r>
      <w:r w:rsidR="00C328F0">
        <w:rPr>
          <w:rFonts w:ascii="Arial" w:hAnsi="Arial" w:cs="Arial"/>
          <w:sz w:val="24"/>
          <w:szCs w:val="24"/>
        </w:rPr>
        <w:t xml:space="preserve">markedly </w:t>
      </w:r>
      <w:r w:rsidR="00983331">
        <w:rPr>
          <w:rFonts w:ascii="Arial" w:hAnsi="Arial" w:cs="Arial"/>
          <w:sz w:val="24"/>
          <w:szCs w:val="24"/>
        </w:rPr>
        <w:t>upwards in 2013/14</w:t>
      </w:r>
      <w:r w:rsidR="00BF444E">
        <w:rPr>
          <w:rFonts w:ascii="Arial" w:hAnsi="Arial" w:cs="Arial"/>
          <w:sz w:val="24"/>
          <w:szCs w:val="24"/>
        </w:rPr>
        <w:t>, the overall trend has been relatively static</w:t>
      </w:r>
      <w:r w:rsidR="00401EB5">
        <w:rPr>
          <w:rFonts w:ascii="Arial" w:hAnsi="Arial" w:cs="Arial"/>
          <w:sz w:val="24"/>
          <w:szCs w:val="24"/>
        </w:rPr>
        <w:t>, with the figure recorded at the final data point</w:t>
      </w:r>
      <w:r w:rsidR="007D09E3">
        <w:rPr>
          <w:rFonts w:ascii="Arial" w:hAnsi="Arial" w:cs="Arial"/>
          <w:sz w:val="24"/>
          <w:szCs w:val="24"/>
        </w:rPr>
        <w:t>,</w:t>
      </w:r>
      <w:r w:rsidR="00401EB5">
        <w:rPr>
          <w:rFonts w:ascii="Arial" w:hAnsi="Arial" w:cs="Arial"/>
          <w:sz w:val="24"/>
          <w:szCs w:val="24"/>
        </w:rPr>
        <w:t xml:space="preserve"> the same as the baseline position</w:t>
      </w:r>
      <w:r w:rsidR="000E0102">
        <w:rPr>
          <w:rFonts w:ascii="Arial" w:hAnsi="Arial" w:cs="Arial"/>
          <w:sz w:val="24"/>
          <w:szCs w:val="24"/>
        </w:rPr>
        <w:t xml:space="preserve"> – 85 HE Leavers</w:t>
      </w:r>
    </w:p>
    <w:bookmarkEnd w:id="2"/>
    <w:p w14:paraId="2C867F5E" w14:textId="4A64A1D2" w:rsidR="00B67F61" w:rsidRDefault="00547646" w:rsidP="0024290F">
      <w:pPr>
        <w:numPr>
          <w:ilvl w:val="0"/>
          <w:numId w:val="6"/>
        </w:numPr>
        <w:spacing w:after="160" w:line="256" w:lineRule="auto"/>
        <w:jc w:val="both"/>
        <w:rPr>
          <w:rFonts w:ascii="Arial" w:hAnsi="Arial" w:cs="Arial"/>
          <w:sz w:val="24"/>
          <w:szCs w:val="24"/>
        </w:rPr>
      </w:pPr>
      <w:r w:rsidRPr="00547646">
        <w:rPr>
          <w:rFonts w:ascii="Arial" w:hAnsi="Arial" w:cs="Arial"/>
          <w:sz w:val="24"/>
          <w:szCs w:val="24"/>
        </w:rPr>
        <w:t xml:space="preserve">Between 2012/13 and 2016/17, an average of </w:t>
      </w:r>
      <w:r w:rsidR="00476898">
        <w:rPr>
          <w:rFonts w:ascii="Arial" w:hAnsi="Arial" w:cs="Arial"/>
          <w:sz w:val="24"/>
          <w:szCs w:val="24"/>
        </w:rPr>
        <w:t xml:space="preserve">4,179 </w:t>
      </w:r>
      <w:r w:rsidRPr="00547646">
        <w:rPr>
          <w:rFonts w:ascii="Arial" w:hAnsi="Arial" w:cs="Arial"/>
          <w:sz w:val="24"/>
          <w:szCs w:val="24"/>
        </w:rPr>
        <w:t>HE leavers per year</w:t>
      </w:r>
      <w:r w:rsidR="00476898">
        <w:rPr>
          <w:rFonts w:ascii="Arial" w:hAnsi="Arial" w:cs="Arial"/>
          <w:sz w:val="24"/>
          <w:szCs w:val="24"/>
        </w:rPr>
        <w:t>,</w:t>
      </w:r>
      <w:r w:rsidRPr="00547646">
        <w:rPr>
          <w:rFonts w:ascii="Arial" w:hAnsi="Arial" w:cs="Arial"/>
          <w:sz w:val="24"/>
          <w:szCs w:val="24"/>
        </w:rPr>
        <w:t xml:space="preserve"> secured graduate jobs. </w:t>
      </w:r>
      <w:r w:rsidR="00B67F61">
        <w:rPr>
          <w:rFonts w:ascii="Arial" w:hAnsi="Arial" w:cs="Arial"/>
          <w:sz w:val="24"/>
          <w:szCs w:val="24"/>
        </w:rPr>
        <w:t>However,</w:t>
      </w:r>
      <w:r w:rsidR="007D09E3">
        <w:rPr>
          <w:rFonts w:ascii="Arial" w:hAnsi="Arial" w:cs="Arial"/>
          <w:sz w:val="24"/>
          <w:szCs w:val="24"/>
        </w:rPr>
        <w:t xml:space="preserve"> t</w:t>
      </w:r>
      <w:r w:rsidR="0039449B">
        <w:rPr>
          <w:rFonts w:ascii="Arial" w:hAnsi="Arial" w:cs="Arial"/>
          <w:sz w:val="24"/>
          <w:szCs w:val="24"/>
        </w:rPr>
        <w:t xml:space="preserve">he data </w:t>
      </w:r>
      <w:r w:rsidR="007D09E3">
        <w:rPr>
          <w:rFonts w:ascii="Arial" w:hAnsi="Arial" w:cs="Arial"/>
          <w:sz w:val="24"/>
          <w:szCs w:val="24"/>
        </w:rPr>
        <w:t>has shown the overall trend to be s</w:t>
      </w:r>
      <w:r w:rsidR="00174915">
        <w:rPr>
          <w:rFonts w:ascii="Arial" w:hAnsi="Arial" w:cs="Arial"/>
          <w:sz w:val="24"/>
          <w:szCs w:val="24"/>
        </w:rPr>
        <w:t>ubject to volatility</w:t>
      </w:r>
      <w:r w:rsidR="00844E0A">
        <w:rPr>
          <w:rFonts w:ascii="Arial" w:hAnsi="Arial" w:cs="Arial"/>
          <w:sz w:val="24"/>
          <w:szCs w:val="24"/>
        </w:rPr>
        <w:t>. At the final position</w:t>
      </w:r>
      <w:r w:rsidR="007D09E3">
        <w:rPr>
          <w:rFonts w:ascii="Arial" w:hAnsi="Arial" w:cs="Arial"/>
          <w:sz w:val="24"/>
          <w:szCs w:val="24"/>
        </w:rPr>
        <w:t>,</w:t>
      </w:r>
      <w:r w:rsidR="00844E0A">
        <w:rPr>
          <w:rFonts w:ascii="Arial" w:hAnsi="Arial" w:cs="Arial"/>
          <w:sz w:val="24"/>
          <w:szCs w:val="24"/>
        </w:rPr>
        <w:t xml:space="preserve"> before the data series was discontinued</w:t>
      </w:r>
      <w:r w:rsidR="007D09E3">
        <w:rPr>
          <w:rFonts w:ascii="Arial" w:hAnsi="Arial" w:cs="Arial"/>
          <w:sz w:val="24"/>
          <w:szCs w:val="24"/>
        </w:rPr>
        <w:t>,</w:t>
      </w:r>
      <w:r w:rsidR="00844E0A">
        <w:rPr>
          <w:rFonts w:ascii="Arial" w:hAnsi="Arial" w:cs="Arial"/>
          <w:sz w:val="24"/>
          <w:szCs w:val="24"/>
        </w:rPr>
        <w:t xml:space="preserve"> 4,072 HE leavers secured graduate jobs </w:t>
      </w:r>
      <w:r w:rsidR="007D09E3">
        <w:rPr>
          <w:rFonts w:ascii="Arial" w:hAnsi="Arial" w:cs="Arial"/>
          <w:sz w:val="24"/>
          <w:szCs w:val="24"/>
        </w:rPr>
        <w:t>within 2016/17.</w:t>
      </w:r>
      <w:r w:rsidR="00B67F61" w:rsidDel="00B67F61">
        <w:rPr>
          <w:rFonts w:ascii="Arial" w:hAnsi="Arial" w:cs="Arial"/>
          <w:sz w:val="24"/>
          <w:szCs w:val="24"/>
        </w:rPr>
        <w:t xml:space="preserve"> </w:t>
      </w:r>
    </w:p>
    <w:p w14:paraId="41CCE9A5" w14:textId="1A0A9011" w:rsidR="001922F6" w:rsidRPr="004B483B" w:rsidRDefault="00B67F61" w:rsidP="00F6363F">
      <w:pPr>
        <w:pStyle w:val="ListParagraph"/>
        <w:numPr>
          <w:ilvl w:val="0"/>
          <w:numId w:val="6"/>
        </w:numPr>
        <w:spacing w:after="160" w:line="256" w:lineRule="auto"/>
        <w:jc w:val="both"/>
        <w:rPr>
          <w:rFonts w:ascii="Arial" w:hAnsi="Arial" w:cs="Arial"/>
          <w:sz w:val="24"/>
          <w:szCs w:val="24"/>
        </w:rPr>
      </w:pPr>
      <w:r>
        <w:rPr>
          <w:rFonts w:ascii="Arial" w:hAnsi="Arial" w:cs="Arial"/>
          <w:sz w:val="24"/>
          <w:szCs w:val="24"/>
        </w:rPr>
        <w:t>D</w:t>
      </w:r>
      <w:r w:rsidR="00A51EB2" w:rsidRPr="00B67F61">
        <w:rPr>
          <w:rFonts w:ascii="Arial" w:hAnsi="Arial" w:cs="Arial"/>
          <w:sz w:val="24"/>
          <w:szCs w:val="24"/>
        </w:rPr>
        <w:t>ata indicates that</w:t>
      </w:r>
      <w:r w:rsidR="001F0704" w:rsidRPr="00B67F61">
        <w:rPr>
          <w:rFonts w:ascii="Arial" w:hAnsi="Arial" w:cs="Arial"/>
          <w:sz w:val="24"/>
          <w:szCs w:val="24"/>
        </w:rPr>
        <w:t xml:space="preserve"> numbers of</w:t>
      </w:r>
      <w:r w:rsidR="00A51EB2" w:rsidRPr="00B67F61">
        <w:rPr>
          <w:rFonts w:ascii="Arial" w:hAnsi="Arial" w:cs="Arial"/>
          <w:sz w:val="24"/>
          <w:szCs w:val="24"/>
        </w:rPr>
        <w:t xml:space="preserve"> g</w:t>
      </w:r>
      <w:r w:rsidR="00FA5F4F" w:rsidRPr="00B67F61">
        <w:rPr>
          <w:rFonts w:ascii="Arial" w:hAnsi="Arial" w:cs="Arial"/>
          <w:sz w:val="24"/>
          <w:szCs w:val="24"/>
        </w:rPr>
        <w:t>raduate placements and internships</w:t>
      </w:r>
      <w:r w:rsidR="004B483B" w:rsidRPr="00B67F61">
        <w:rPr>
          <w:rFonts w:ascii="Arial" w:hAnsi="Arial" w:cs="Arial"/>
          <w:sz w:val="24"/>
          <w:szCs w:val="24"/>
        </w:rPr>
        <w:t xml:space="preserve"> secured by </w:t>
      </w:r>
      <w:proofErr w:type="spellStart"/>
      <w:r w:rsidR="004B483B" w:rsidRPr="00B67F61">
        <w:rPr>
          <w:rFonts w:ascii="Arial" w:hAnsi="Arial" w:cs="Arial"/>
          <w:sz w:val="24"/>
          <w:szCs w:val="24"/>
        </w:rPr>
        <w:t>U</w:t>
      </w:r>
      <w:r w:rsidRPr="00B67F61">
        <w:rPr>
          <w:rFonts w:ascii="Arial" w:hAnsi="Arial" w:cs="Arial"/>
          <w:sz w:val="24"/>
          <w:szCs w:val="24"/>
        </w:rPr>
        <w:t>CL</w:t>
      </w:r>
      <w:r w:rsidR="004B483B" w:rsidRPr="00B67F61">
        <w:rPr>
          <w:rFonts w:ascii="Arial" w:hAnsi="Arial" w:cs="Arial"/>
          <w:sz w:val="24"/>
          <w:szCs w:val="24"/>
        </w:rPr>
        <w:t>an</w:t>
      </w:r>
      <w:proofErr w:type="spellEnd"/>
      <w:r w:rsidR="004B483B" w:rsidRPr="00B67F61">
        <w:rPr>
          <w:rFonts w:ascii="Arial" w:hAnsi="Arial" w:cs="Arial"/>
          <w:sz w:val="24"/>
          <w:szCs w:val="24"/>
        </w:rPr>
        <w:t xml:space="preserve"> </w:t>
      </w:r>
      <w:r w:rsidR="001F0704" w:rsidRPr="00B67F61">
        <w:rPr>
          <w:rFonts w:ascii="Arial" w:hAnsi="Arial" w:cs="Arial"/>
          <w:sz w:val="24"/>
          <w:szCs w:val="24"/>
        </w:rPr>
        <w:t>for all sectors</w:t>
      </w:r>
      <w:r w:rsidR="0024290F">
        <w:rPr>
          <w:rFonts w:ascii="Arial" w:hAnsi="Arial" w:cs="Arial"/>
          <w:sz w:val="24"/>
          <w:szCs w:val="24"/>
        </w:rPr>
        <w:t xml:space="preserve"> fluctuated before growing </w:t>
      </w:r>
      <w:r w:rsidR="0059382F" w:rsidRPr="00B67F61">
        <w:rPr>
          <w:rFonts w:ascii="Arial" w:hAnsi="Arial" w:cs="Arial"/>
          <w:sz w:val="24"/>
          <w:szCs w:val="24"/>
        </w:rPr>
        <w:t>by 82% during the City Deal programme</w:t>
      </w:r>
      <w:r w:rsidR="004B483B" w:rsidRPr="00B67F61">
        <w:rPr>
          <w:rFonts w:ascii="Arial" w:hAnsi="Arial" w:cs="Arial"/>
          <w:sz w:val="24"/>
          <w:szCs w:val="24"/>
        </w:rPr>
        <w:t xml:space="preserve"> period</w:t>
      </w:r>
      <w:r w:rsidR="0024290F">
        <w:rPr>
          <w:rFonts w:ascii="Arial" w:hAnsi="Arial" w:cs="Arial"/>
          <w:sz w:val="24"/>
          <w:szCs w:val="24"/>
        </w:rPr>
        <w:t>.</w:t>
      </w:r>
      <w:r w:rsidR="0059382F" w:rsidRPr="004B483B">
        <w:rPr>
          <w:rFonts w:ascii="Arial" w:hAnsi="Arial" w:cs="Arial"/>
          <w:sz w:val="24"/>
          <w:szCs w:val="24"/>
        </w:rPr>
        <w:t xml:space="preserve">589 graduate placements or internships </w:t>
      </w:r>
      <w:r w:rsidR="004B483B" w:rsidRPr="004B483B">
        <w:rPr>
          <w:rFonts w:ascii="Arial" w:hAnsi="Arial" w:cs="Arial"/>
          <w:sz w:val="24"/>
          <w:szCs w:val="24"/>
        </w:rPr>
        <w:t xml:space="preserve">were </w:t>
      </w:r>
      <w:r w:rsidR="005E6FDB" w:rsidRPr="004B483B">
        <w:rPr>
          <w:rFonts w:ascii="Arial" w:hAnsi="Arial" w:cs="Arial"/>
          <w:sz w:val="24"/>
          <w:szCs w:val="24"/>
        </w:rPr>
        <w:t xml:space="preserve">secured </w:t>
      </w:r>
      <w:r w:rsidR="004B483B" w:rsidRPr="004B483B">
        <w:rPr>
          <w:rFonts w:ascii="Arial" w:hAnsi="Arial" w:cs="Arial"/>
          <w:sz w:val="24"/>
          <w:szCs w:val="24"/>
        </w:rPr>
        <w:t xml:space="preserve">in </w:t>
      </w:r>
      <w:r w:rsidR="0024290F">
        <w:rPr>
          <w:rFonts w:ascii="Arial" w:hAnsi="Arial" w:cs="Arial"/>
          <w:sz w:val="24"/>
          <w:szCs w:val="24"/>
        </w:rPr>
        <w:t>the final year of date (</w:t>
      </w:r>
      <w:r w:rsidR="00CB08DE" w:rsidRPr="004B483B">
        <w:rPr>
          <w:rFonts w:ascii="Arial" w:hAnsi="Arial" w:cs="Arial"/>
          <w:sz w:val="24"/>
          <w:szCs w:val="24"/>
        </w:rPr>
        <w:t>2017/18</w:t>
      </w:r>
      <w:r w:rsidR="0024290F">
        <w:rPr>
          <w:rFonts w:ascii="Arial" w:hAnsi="Arial" w:cs="Arial"/>
          <w:sz w:val="24"/>
          <w:szCs w:val="24"/>
        </w:rPr>
        <w:t>)</w:t>
      </w:r>
      <w:r w:rsidR="004B483B" w:rsidRPr="004B483B">
        <w:rPr>
          <w:rFonts w:ascii="Arial" w:hAnsi="Arial" w:cs="Arial"/>
          <w:sz w:val="24"/>
          <w:szCs w:val="24"/>
        </w:rPr>
        <w:t xml:space="preserve"> when the </w:t>
      </w:r>
      <w:r w:rsidR="00CB08DE" w:rsidRPr="004B483B">
        <w:rPr>
          <w:rFonts w:ascii="Arial" w:hAnsi="Arial" w:cs="Arial"/>
          <w:sz w:val="24"/>
          <w:szCs w:val="24"/>
        </w:rPr>
        <w:t xml:space="preserve">data series was </w:t>
      </w:r>
      <w:r w:rsidR="00347EC6" w:rsidRPr="004B483B">
        <w:rPr>
          <w:rFonts w:ascii="Arial" w:hAnsi="Arial" w:cs="Arial"/>
          <w:sz w:val="24"/>
          <w:szCs w:val="24"/>
        </w:rPr>
        <w:t>discontinued</w:t>
      </w:r>
      <w:r w:rsidR="004B483B">
        <w:rPr>
          <w:rFonts w:ascii="Arial" w:hAnsi="Arial" w:cs="Arial"/>
          <w:sz w:val="24"/>
          <w:szCs w:val="24"/>
        </w:rPr>
        <w:t xml:space="preserve">. </w:t>
      </w:r>
    </w:p>
    <w:p w14:paraId="27CB5DFF" w14:textId="77777777" w:rsidR="00B15CF0" w:rsidRDefault="00B15CF0" w:rsidP="00D3134F">
      <w:pPr>
        <w:pStyle w:val="NoSpacing"/>
        <w:jc w:val="both"/>
        <w:rPr>
          <w:rFonts w:cs="Arial"/>
          <w:b/>
          <w:bCs/>
          <w:szCs w:val="24"/>
        </w:rPr>
      </w:pPr>
    </w:p>
    <w:p w14:paraId="696D175C" w14:textId="68E8B6F8" w:rsidR="002C623C" w:rsidRPr="002C623C" w:rsidRDefault="001F1EF5" w:rsidP="00D3134F">
      <w:pPr>
        <w:pStyle w:val="NoSpacing"/>
        <w:jc w:val="both"/>
        <w:rPr>
          <w:rFonts w:cs="Arial"/>
          <w:b/>
          <w:bCs/>
          <w:szCs w:val="24"/>
        </w:rPr>
      </w:pPr>
      <w:r>
        <w:rPr>
          <w:rFonts w:cs="Arial"/>
          <w:b/>
          <w:bCs/>
          <w:szCs w:val="24"/>
        </w:rPr>
        <w:t>4</w:t>
      </w:r>
      <w:r w:rsidR="00EF5C48">
        <w:rPr>
          <w:rFonts w:cs="Arial"/>
          <w:b/>
          <w:bCs/>
          <w:szCs w:val="24"/>
        </w:rPr>
        <w:t>.0</w:t>
      </w:r>
      <w:r w:rsidR="00EF5C48">
        <w:rPr>
          <w:rFonts w:cs="Arial"/>
          <w:b/>
          <w:bCs/>
          <w:szCs w:val="24"/>
        </w:rPr>
        <w:tab/>
      </w:r>
      <w:r w:rsidR="007D09E3">
        <w:rPr>
          <w:rFonts w:cs="Arial"/>
          <w:b/>
          <w:bCs/>
          <w:szCs w:val="24"/>
        </w:rPr>
        <w:t>Summary and f</w:t>
      </w:r>
      <w:r w:rsidR="00EF5C48">
        <w:rPr>
          <w:rFonts w:cs="Arial"/>
          <w:b/>
          <w:bCs/>
          <w:szCs w:val="24"/>
        </w:rPr>
        <w:t xml:space="preserve">uture </w:t>
      </w:r>
      <w:r w:rsidR="002C623C" w:rsidRPr="002C623C">
        <w:rPr>
          <w:rFonts w:cs="Arial"/>
          <w:b/>
          <w:bCs/>
          <w:szCs w:val="24"/>
        </w:rPr>
        <w:t xml:space="preserve">reporting </w:t>
      </w:r>
    </w:p>
    <w:p w14:paraId="66A5A7D0" w14:textId="77777777" w:rsidR="002C623C" w:rsidRDefault="002C623C" w:rsidP="00D3134F">
      <w:pPr>
        <w:pStyle w:val="NoSpacing"/>
        <w:jc w:val="both"/>
        <w:rPr>
          <w:rFonts w:cs="Arial"/>
          <w:szCs w:val="24"/>
        </w:rPr>
      </w:pPr>
    </w:p>
    <w:p w14:paraId="10E61173" w14:textId="7E30191F" w:rsidR="00455D9B" w:rsidRDefault="007D09E3" w:rsidP="007D09E3">
      <w:pPr>
        <w:pStyle w:val="NoSpacing"/>
        <w:numPr>
          <w:ilvl w:val="0"/>
          <w:numId w:val="16"/>
        </w:numPr>
        <w:jc w:val="both"/>
        <w:rPr>
          <w:rFonts w:cs="Arial"/>
          <w:szCs w:val="24"/>
        </w:rPr>
      </w:pPr>
      <w:r>
        <w:rPr>
          <w:rFonts w:cs="Arial"/>
          <w:szCs w:val="24"/>
        </w:rPr>
        <w:t xml:space="preserve">The </w:t>
      </w:r>
      <w:r w:rsidR="00FD1357">
        <w:rPr>
          <w:rFonts w:cs="Arial"/>
          <w:szCs w:val="24"/>
        </w:rPr>
        <w:t xml:space="preserve">data in the series highlights </w:t>
      </w:r>
      <w:r w:rsidR="00A13A2C">
        <w:rPr>
          <w:rFonts w:cs="Arial"/>
          <w:szCs w:val="24"/>
        </w:rPr>
        <w:t>several</w:t>
      </w:r>
      <w:r w:rsidR="00FD1357">
        <w:rPr>
          <w:rFonts w:cs="Arial"/>
          <w:szCs w:val="24"/>
        </w:rPr>
        <w:t xml:space="preserve"> positive </w:t>
      </w:r>
      <w:r w:rsidR="003A1599">
        <w:rPr>
          <w:rFonts w:cs="Arial"/>
          <w:szCs w:val="24"/>
        </w:rPr>
        <w:t xml:space="preserve">outcomes that have </w:t>
      </w:r>
      <w:r w:rsidR="00A13A2C">
        <w:rPr>
          <w:rFonts w:cs="Arial"/>
          <w:szCs w:val="24"/>
        </w:rPr>
        <w:t xml:space="preserve">taken </w:t>
      </w:r>
      <w:r w:rsidR="00AB0D51">
        <w:rPr>
          <w:rFonts w:cs="Arial"/>
          <w:szCs w:val="24"/>
        </w:rPr>
        <w:t>place through</w:t>
      </w:r>
      <w:r w:rsidR="003A1599">
        <w:rPr>
          <w:rFonts w:cs="Arial"/>
          <w:szCs w:val="24"/>
        </w:rPr>
        <w:t xml:space="preserve"> the City Deal Programme</w:t>
      </w:r>
      <w:r w:rsidR="00330593">
        <w:rPr>
          <w:rFonts w:cs="Arial"/>
          <w:szCs w:val="24"/>
        </w:rPr>
        <w:t xml:space="preserve"> period</w:t>
      </w:r>
      <w:r w:rsidR="003A1599">
        <w:rPr>
          <w:rFonts w:cs="Arial"/>
          <w:szCs w:val="24"/>
        </w:rPr>
        <w:t xml:space="preserve">. For example, growth in numbers of young people accessing Construction Apprenticeships locally </w:t>
      </w:r>
      <w:r w:rsidR="00330593">
        <w:rPr>
          <w:rFonts w:cs="Arial"/>
          <w:szCs w:val="24"/>
        </w:rPr>
        <w:t xml:space="preserve">has been achieved against </w:t>
      </w:r>
      <w:r w:rsidR="00E252C1">
        <w:rPr>
          <w:rFonts w:cs="Arial"/>
          <w:szCs w:val="24"/>
        </w:rPr>
        <w:t>a</w:t>
      </w:r>
      <w:r w:rsidR="0016317B">
        <w:rPr>
          <w:rFonts w:cs="Arial"/>
          <w:szCs w:val="24"/>
        </w:rPr>
        <w:t xml:space="preserve"> downwards</w:t>
      </w:r>
      <w:r w:rsidR="00DE18AE">
        <w:rPr>
          <w:rFonts w:cs="Arial"/>
          <w:szCs w:val="24"/>
        </w:rPr>
        <w:t xml:space="preserve"> market trend.</w:t>
      </w:r>
      <w:r w:rsidR="00E252C1">
        <w:rPr>
          <w:rFonts w:cs="Arial"/>
          <w:szCs w:val="24"/>
        </w:rPr>
        <w:t xml:space="preserve"> </w:t>
      </w:r>
      <w:r w:rsidR="00455D9B">
        <w:rPr>
          <w:rFonts w:cs="Arial"/>
          <w:szCs w:val="24"/>
        </w:rPr>
        <w:t xml:space="preserve">In addition, </w:t>
      </w:r>
      <w:r w:rsidR="00E252C1">
        <w:rPr>
          <w:rFonts w:cs="Arial"/>
          <w:szCs w:val="24"/>
        </w:rPr>
        <w:t xml:space="preserve">the 263% increase in numbers of </w:t>
      </w:r>
      <w:proofErr w:type="spellStart"/>
      <w:r w:rsidR="00E252C1">
        <w:rPr>
          <w:rFonts w:cs="Arial"/>
          <w:szCs w:val="24"/>
        </w:rPr>
        <w:t>UCLan</w:t>
      </w:r>
      <w:proofErr w:type="spellEnd"/>
      <w:r w:rsidR="00E252C1">
        <w:rPr>
          <w:rFonts w:cs="Arial"/>
          <w:szCs w:val="24"/>
        </w:rPr>
        <w:t xml:space="preserve"> students choosing STEM or Construction degrees </w:t>
      </w:r>
      <w:r w:rsidR="00455D9B">
        <w:rPr>
          <w:rFonts w:cs="Arial"/>
          <w:szCs w:val="24"/>
        </w:rPr>
        <w:t>represents positive progress.</w:t>
      </w:r>
      <w:r w:rsidR="0016317B">
        <w:rPr>
          <w:rFonts w:cs="Arial"/>
          <w:szCs w:val="24"/>
        </w:rPr>
        <w:t xml:space="preserve"> The growth in </w:t>
      </w:r>
      <w:r w:rsidR="0024290F">
        <w:rPr>
          <w:rFonts w:cs="Arial"/>
          <w:szCs w:val="24"/>
        </w:rPr>
        <w:t>C</w:t>
      </w:r>
      <w:r w:rsidR="0016317B">
        <w:rPr>
          <w:rFonts w:cs="Arial"/>
          <w:szCs w:val="24"/>
        </w:rPr>
        <w:t>areers IAG for young people is also significant, with employers engaged in inspiring young people about jobs in construction, including tackling stereotypes and encouraging greater gender diversity.</w:t>
      </w:r>
      <w:r w:rsidR="00C034F0">
        <w:rPr>
          <w:rFonts w:cs="Arial"/>
          <w:szCs w:val="24"/>
        </w:rPr>
        <w:t xml:space="preserve"> The </w:t>
      </w:r>
      <w:r w:rsidR="0024290F">
        <w:rPr>
          <w:rFonts w:cs="Arial"/>
          <w:szCs w:val="24"/>
        </w:rPr>
        <w:t xml:space="preserve">accompanying </w:t>
      </w:r>
      <w:r w:rsidR="00C034F0">
        <w:rPr>
          <w:rFonts w:cs="Arial"/>
          <w:szCs w:val="24"/>
        </w:rPr>
        <w:t xml:space="preserve">Social Value report is complementary – with many social value outputs and outcomes contributing to the growth in, for example, apprenticeships, </w:t>
      </w:r>
      <w:proofErr w:type="gramStart"/>
      <w:r w:rsidR="00C034F0">
        <w:rPr>
          <w:rFonts w:cs="Arial"/>
          <w:szCs w:val="24"/>
        </w:rPr>
        <w:t>internships</w:t>
      </w:r>
      <w:proofErr w:type="gramEnd"/>
      <w:r w:rsidR="00C034F0">
        <w:rPr>
          <w:rFonts w:cs="Arial"/>
          <w:szCs w:val="24"/>
        </w:rPr>
        <w:t xml:space="preserve"> and careers IAG activities.</w:t>
      </w:r>
      <w:r w:rsidR="00455D9B">
        <w:rPr>
          <w:rFonts w:cs="Arial"/>
          <w:szCs w:val="24"/>
        </w:rPr>
        <w:t xml:space="preserve"> </w:t>
      </w:r>
      <w:r w:rsidR="00AB0D51">
        <w:rPr>
          <w:rFonts w:cs="Arial"/>
          <w:szCs w:val="24"/>
        </w:rPr>
        <w:t xml:space="preserve">These are examples that demonstrate </w:t>
      </w:r>
      <w:r w:rsidR="0016317B">
        <w:rPr>
          <w:rFonts w:cs="Arial"/>
          <w:szCs w:val="24"/>
        </w:rPr>
        <w:t xml:space="preserve">several </w:t>
      </w:r>
      <w:r w:rsidR="001227D7">
        <w:rPr>
          <w:rFonts w:cs="Arial"/>
          <w:szCs w:val="24"/>
        </w:rPr>
        <w:t xml:space="preserve">positive aspects of how the labour market has </w:t>
      </w:r>
      <w:r w:rsidR="0016317B">
        <w:rPr>
          <w:rFonts w:cs="Arial"/>
          <w:szCs w:val="24"/>
        </w:rPr>
        <w:t xml:space="preserve">been impacted </w:t>
      </w:r>
      <w:r w:rsidR="001227D7">
        <w:rPr>
          <w:rFonts w:cs="Arial"/>
          <w:szCs w:val="24"/>
        </w:rPr>
        <w:t>during the City Deal Programme</w:t>
      </w:r>
      <w:r w:rsidR="0016317B">
        <w:rPr>
          <w:rFonts w:cs="Arial"/>
          <w:szCs w:val="24"/>
        </w:rPr>
        <w:t>.</w:t>
      </w:r>
    </w:p>
    <w:p w14:paraId="0464D901" w14:textId="46CF1E83" w:rsidR="00455D9B" w:rsidRDefault="00455D9B" w:rsidP="00455D9B">
      <w:pPr>
        <w:pStyle w:val="NoSpacing"/>
        <w:ind w:left="360"/>
        <w:jc w:val="both"/>
        <w:rPr>
          <w:rFonts w:cs="Arial"/>
          <w:szCs w:val="24"/>
        </w:rPr>
      </w:pPr>
    </w:p>
    <w:p w14:paraId="2A7CF666" w14:textId="35486F5F" w:rsidR="00455D9B" w:rsidRDefault="005B3F1B" w:rsidP="007D09E3">
      <w:pPr>
        <w:pStyle w:val="NoSpacing"/>
        <w:numPr>
          <w:ilvl w:val="0"/>
          <w:numId w:val="16"/>
        </w:numPr>
        <w:jc w:val="both"/>
        <w:rPr>
          <w:rFonts w:cs="Arial"/>
          <w:szCs w:val="24"/>
        </w:rPr>
      </w:pPr>
      <w:r>
        <w:rPr>
          <w:rFonts w:cs="Arial"/>
          <w:szCs w:val="24"/>
        </w:rPr>
        <w:t xml:space="preserve">As has been noted throughout the report, data sources for </w:t>
      </w:r>
      <w:r w:rsidR="00226629">
        <w:rPr>
          <w:rFonts w:cs="Arial"/>
          <w:szCs w:val="24"/>
        </w:rPr>
        <w:t>most of</w:t>
      </w:r>
      <w:r>
        <w:rPr>
          <w:rFonts w:cs="Arial"/>
          <w:szCs w:val="24"/>
        </w:rPr>
        <w:t xml:space="preserve"> the measures are no longer available. </w:t>
      </w:r>
      <w:r w:rsidR="00226629">
        <w:rPr>
          <w:rFonts w:cs="Arial"/>
          <w:szCs w:val="24"/>
        </w:rPr>
        <w:t>Therefore,</w:t>
      </w:r>
      <w:r w:rsidR="003A7BE9">
        <w:rPr>
          <w:rFonts w:cs="Arial"/>
          <w:szCs w:val="24"/>
        </w:rPr>
        <w:t xml:space="preserve"> it is </w:t>
      </w:r>
      <w:r w:rsidR="00B67F61">
        <w:rPr>
          <w:rFonts w:cs="Arial"/>
          <w:szCs w:val="24"/>
        </w:rPr>
        <w:t xml:space="preserve">proposed, with agreement from the </w:t>
      </w:r>
      <w:r w:rsidR="004F6BCB">
        <w:rPr>
          <w:rFonts w:cs="Arial"/>
          <w:szCs w:val="24"/>
        </w:rPr>
        <w:t>Board</w:t>
      </w:r>
      <w:r w:rsidR="00B67F61">
        <w:rPr>
          <w:rFonts w:cs="Arial"/>
          <w:szCs w:val="24"/>
        </w:rPr>
        <w:t>,</w:t>
      </w:r>
      <w:r w:rsidR="003A7BE9">
        <w:rPr>
          <w:rFonts w:cs="Arial"/>
          <w:szCs w:val="24"/>
        </w:rPr>
        <w:t xml:space="preserve"> that this represents the final report on these measures. </w:t>
      </w:r>
    </w:p>
    <w:p w14:paraId="35F6CBE5" w14:textId="77777777" w:rsidR="00455D9B" w:rsidRDefault="00455D9B" w:rsidP="00455D9B">
      <w:pPr>
        <w:pStyle w:val="NoSpacing"/>
        <w:jc w:val="both"/>
        <w:rPr>
          <w:rFonts w:cs="Arial"/>
          <w:szCs w:val="24"/>
        </w:rPr>
      </w:pPr>
    </w:p>
    <w:p w14:paraId="0B38A5EE" w14:textId="6538252B" w:rsidR="00A14861" w:rsidRDefault="00455D9B" w:rsidP="00455D9B">
      <w:pPr>
        <w:pStyle w:val="NoSpacing"/>
        <w:jc w:val="both"/>
        <w:rPr>
          <w:rFonts w:cs="Arial"/>
          <w:szCs w:val="24"/>
        </w:rPr>
      </w:pPr>
      <w:r>
        <w:rPr>
          <w:rFonts w:cs="Arial"/>
          <w:szCs w:val="24"/>
        </w:rPr>
        <w:t xml:space="preserve"> </w:t>
      </w:r>
    </w:p>
    <w:p w14:paraId="661D3BE2" w14:textId="497A3955" w:rsidR="00A14861" w:rsidRDefault="00A14861" w:rsidP="00D3134F">
      <w:pPr>
        <w:pStyle w:val="NoSpacing"/>
        <w:jc w:val="both"/>
        <w:rPr>
          <w:rFonts w:cs="Arial"/>
          <w:szCs w:val="24"/>
        </w:rPr>
      </w:pPr>
    </w:p>
    <w:p w14:paraId="3F364745" w14:textId="77777777" w:rsidR="00EB4643" w:rsidRPr="0022408A" w:rsidRDefault="000B5041"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2058FCCF" w14:textId="77777777" w:rsidR="00EB4643" w:rsidRPr="0022408A" w:rsidRDefault="00EB4643"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A41D36" w14:paraId="56DE6788" w14:textId="77777777" w:rsidTr="005229F6">
        <w:tc>
          <w:tcPr>
            <w:tcW w:w="3510" w:type="dxa"/>
          </w:tcPr>
          <w:p w14:paraId="10E74368" w14:textId="77777777" w:rsidR="00EB4643" w:rsidRPr="0022408A" w:rsidRDefault="000B504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131194B9" w14:textId="77777777" w:rsidR="00EB4643" w:rsidRPr="0022408A" w:rsidRDefault="000B504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24832991" w14:textId="77777777" w:rsidR="00EB4643" w:rsidRPr="0022408A" w:rsidRDefault="000B504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A41D36" w14:paraId="58680111" w14:textId="77777777" w:rsidTr="005229F6">
        <w:tc>
          <w:tcPr>
            <w:tcW w:w="3510" w:type="dxa"/>
          </w:tcPr>
          <w:p w14:paraId="5BDE4FEB" w14:textId="77777777" w:rsidR="001B49C8" w:rsidRDefault="001B49C8" w:rsidP="005229F6">
            <w:pPr>
              <w:spacing w:after="5" w:line="249" w:lineRule="auto"/>
              <w:ind w:left="542" w:hanging="542"/>
              <w:rPr>
                <w:rFonts w:ascii="Arial" w:eastAsia="Calibri" w:hAnsi="Arial" w:cs="Arial"/>
                <w:sz w:val="24"/>
                <w:szCs w:val="24"/>
                <w:lang w:eastAsia="en-GB"/>
              </w:rPr>
            </w:pPr>
          </w:p>
          <w:p w14:paraId="25B123C2" w14:textId="46057ECD" w:rsidR="00EB4643" w:rsidRPr="0022408A" w:rsidRDefault="001B49C8"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17B58A84"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c>
          <w:tcPr>
            <w:tcW w:w="2492" w:type="dxa"/>
          </w:tcPr>
          <w:p w14:paraId="2A8FB6E8"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c>
          <w:tcPr>
            <w:tcW w:w="3178" w:type="dxa"/>
          </w:tcPr>
          <w:p w14:paraId="6668AAA9" w14:textId="77777777" w:rsidR="00EB4643" w:rsidRPr="0022408A" w:rsidRDefault="00EB4643" w:rsidP="005229F6">
            <w:pPr>
              <w:spacing w:after="5" w:line="249" w:lineRule="auto"/>
              <w:ind w:left="542" w:hanging="542"/>
              <w:rPr>
                <w:rFonts w:ascii="Arial" w:eastAsia="Calibri" w:hAnsi="Arial" w:cs="Arial"/>
                <w:sz w:val="24"/>
                <w:szCs w:val="24"/>
                <w:lang w:eastAsia="en-GB"/>
              </w:rPr>
            </w:pPr>
          </w:p>
        </w:tc>
      </w:tr>
      <w:tr w:rsidR="00A41D36" w14:paraId="47D0C9DE" w14:textId="77777777" w:rsidTr="005229F6">
        <w:trPr>
          <w:cantSplit/>
        </w:trPr>
        <w:tc>
          <w:tcPr>
            <w:tcW w:w="9180" w:type="dxa"/>
            <w:gridSpan w:val="3"/>
          </w:tcPr>
          <w:p w14:paraId="28FDC3B1" w14:textId="77777777"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14:paraId="2A4920F6" w14:textId="77777777" w:rsidR="00EB4643" w:rsidRPr="0022408A" w:rsidRDefault="000B5041"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52825808" w14:textId="77777777" w:rsidR="00EB4643" w:rsidRPr="0022408A" w:rsidRDefault="00EB4643" w:rsidP="005229F6">
            <w:pPr>
              <w:spacing w:after="5" w:line="249" w:lineRule="auto"/>
              <w:ind w:left="542" w:hanging="542"/>
              <w:rPr>
                <w:rFonts w:ascii="Arial" w:eastAsia="Calibri" w:hAnsi="Arial" w:cs="Arial"/>
                <w:color w:val="000000"/>
                <w:sz w:val="24"/>
                <w:szCs w:val="24"/>
                <w:lang w:eastAsia="en-GB"/>
              </w:rPr>
            </w:pPr>
          </w:p>
          <w:p w14:paraId="2F1EB349" w14:textId="4352A548" w:rsidR="00EB4643" w:rsidRPr="0022408A" w:rsidRDefault="001B49C8" w:rsidP="001B49C8">
            <w:pPr>
              <w:spacing w:after="5" w:line="249" w:lineRule="auto"/>
              <w:ind w:left="542" w:hanging="542"/>
              <w:rPr>
                <w:rFonts w:ascii="Arial" w:eastAsia="Calibri" w:hAnsi="Arial" w:cs="Arial"/>
                <w:color w:val="000000"/>
                <w:sz w:val="24"/>
                <w:szCs w:val="24"/>
                <w:lang w:eastAsia="en-GB"/>
              </w:rPr>
            </w:pPr>
            <w:r>
              <w:rPr>
                <w:rFonts w:ascii="Arial" w:eastAsia="Calibri" w:hAnsi="Arial" w:cs="Arial"/>
                <w:color w:val="000000"/>
                <w:sz w:val="24"/>
                <w:szCs w:val="24"/>
                <w:lang w:eastAsia="en-GB"/>
              </w:rPr>
              <w:t>N/a</w:t>
            </w:r>
          </w:p>
        </w:tc>
      </w:tr>
    </w:tbl>
    <w:p w14:paraId="2FDD1507" w14:textId="77777777" w:rsidR="00EB4643" w:rsidRPr="009D435E" w:rsidRDefault="00EB4643" w:rsidP="00D3134F">
      <w:pPr>
        <w:pStyle w:val="NoSpacing"/>
        <w:jc w:val="both"/>
        <w:rPr>
          <w:rFonts w:cs="Arial"/>
          <w:szCs w:val="24"/>
        </w:rPr>
      </w:pPr>
    </w:p>
    <w:sectPr w:rsidR="00EB4643" w:rsidRPr="009D435E">
      <w:headerReference w:type="default" r:id="rId13"/>
      <w:footerReference w:type="even"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67D3" w14:textId="77777777" w:rsidR="004659F9" w:rsidRDefault="004659F9">
      <w:pPr>
        <w:spacing w:after="0" w:line="240" w:lineRule="auto"/>
      </w:pPr>
      <w:r>
        <w:separator/>
      </w:r>
    </w:p>
  </w:endnote>
  <w:endnote w:type="continuationSeparator" w:id="0">
    <w:p w14:paraId="5B09FBB8" w14:textId="77777777" w:rsidR="004659F9" w:rsidRDefault="0046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8A1C" w14:textId="77777777" w:rsidR="006A1583" w:rsidRDefault="006A1583" w:rsidP="00440F6A">
    <w:pPr>
      <w:pStyle w:val="Footer"/>
    </w:pPr>
    <w:bookmarkStart w:id="3" w:name="aliashAdvancedFooterprot1FooterEvenPages"/>
  </w:p>
  <w:bookmarkEnd w:id="3"/>
  <w:p w14:paraId="29211A88" w14:textId="77777777" w:rsidR="006A1583" w:rsidRDefault="006A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58A9" w14:textId="77777777" w:rsidR="006A1583" w:rsidRDefault="006A1583" w:rsidP="00440F6A">
    <w:pPr>
      <w:pStyle w:val="Footer"/>
    </w:pPr>
    <w:bookmarkStart w:id="4" w:name="aliashAdvancedFooterprotec1FooterPrimary"/>
  </w:p>
  <w:bookmarkEnd w:id="4"/>
  <w:p w14:paraId="46BD0504" w14:textId="77777777" w:rsidR="006A1583" w:rsidRDefault="006A1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3800" w14:textId="77777777" w:rsidR="006A1583" w:rsidRDefault="006A1583" w:rsidP="00440F6A">
    <w:pPr>
      <w:pStyle w:val="Footer"/>
    </w:pPr>
    <w:bookmarkStart w:id="5" w:name="aliashAdvancedFooterprot1FooterFirstPage"/>
  </w:p>
  <w:bookmarkEnd w:id="5"/>
  <w:p w14:paraId="733B1E94" w14:textId="77777777" w:rsidR="006A1583" w:rsidRDefault="006A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4B91B" w14:textId="77777777" w:rsidR="004659F9" w:rsidRDefault="004659F9">
      <w:pPr>
        <w:spacing w:after="0" w:line="240" w:lineRule="auto"/>
      </w:pPr>
      <w:r>
        <w:separator/>
      </w:r>
    </w:p>
  </w:footnote>
  <w:footnote w:type="continuationSeparator" w:id="0">
    <w:p w14:paraId="73DB9E79" w14:textId="77777777" w:rsidR="004659F9" w:rsidRDefault="0046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BDE" w14:textId="77777777" w:rsidR="006A1583" w:rsidRDefault="000B5041" w:rsidP="00054E0A">
    <w:pPr>
      <w:pStyle w:val="Header"/>
    </w:pPr>
    <w:r w:rsidRPr="00DA16C4">
      <w:rPr>
        <w:noProof/>
        <w:lang w:eastAsia="en-GB"/>
      </w:rPr>
      <w:drawing>
        <wp:inline distT="0" distB="0" distL="0" distR="0" wp14:anchorId="2E7C4AA2" wp14:editId="7147E8EA">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22244"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E1"/>
    <w:multiLevelType w:val="multilevel"/>
    <w:tmpl w:val="ADA03FDC"/>
    <w:lvl w:ilvl="0">
      <w:start w:val="2"/>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440" w:hanging="144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 w15:restartNumberingAfterBreak="0">
    <w:nsid w:val="08A42B64"/>
    <w:multiLevelType w:val="hybridMultilevel"/>
    <w:tmpl w:val="C31CC5EA"/>
    <w:lvl w:ilvl="0" w:tplc="2A7C32D4">
      <w:start w:val="1"/>
      <w:numFmt w:val="bullet"/>
      <w:lvlText w:val=""/>
      <w:lvlJc w:val="left"/>
      <w:pPr>
        <w:ind w:left="720" w:hanging="360"/>
      </w:pPr>
      <w:rPr>
        <w:rFonts w:ascii="Symbol" w:hAnsi="Symbol" w:hint="default"/>
      </w:rPr>
    </w:lvl>
    <w:lvl w:ilvl="1" w:tplc="63F8B50E" w:tentative="1">
      <w:start w:val="1"/>
      <w:numFmt w:val="bullet"/>
      <w:lvlText w:val="o"/>
      <w:lvlJc w:val="left"/>
      <w:pPr>
        <w:ind w:left="1440" w:hanging="360"/>
      </w:pPr>
      <w:rPr>
        <w:rFonts w:ascii="Courier New" w:hAnsi="Courier New" w:cs="Courier New" w:hint="default"/>
      </w:rPr>
    </w:lvl>
    <w:lvl w:ilvl="2" w:tplc="5C720746" w:tentative="1">
      <w:start w:val="1"/>
      <w:numFmt w:val="bullet"/>
      <w:lvlText w:val=""/>
      <w:lvlJc w:val="left"/>
      <w:pPr>
        <w:ind w:left="2160" w:hanging="360"/>
      </w:pPr>
      <w:rPr>
        <w:rFonts w:ascii="Wingdings" w:hAnsi="Wingdings" w:hint="default"/>
      </w:rPr>
    </w:lvl>
    <w:lvl w:ilvl="3" w:tplc="51F8F2BC" w:tentative="1">
      <w:start w:val="1"/>
      <w:numFmt w:val="bullet"/>
      <w:lvlText w:val=""/>
      <w:lvlJc w:val="left"/>
      <w:pPr>
        <w:ind w:left="2880" w:hanging="360"/>
      </w:pPr>
      <w:rPr>
        <w:rFonts w:ascii="Symbol" w:hAnsi="Symbol" w:hint="default"/>
      </w:rPr>
    </w:lvl>
    <w:lvl w:ilvl="4" w:tplc="A216AAEE" w:tentative="1">
      <w:start w:val="1"/>
      <w:numFmt w:val="bullet"/>
      <w:lvlText w:val="o"/>
      <w:lvlJc w:val="left"/>
      <w:pPr>
        <w:ind w:left="3600" w:hanging="360"/>
      </w:pPr>
      <w:rPr>
        <w:rFonts w:ascii="Courier New" w:hAnsi="Courier New" w:cs="Courier New" w:hint="default"/>
      </w:rPr>
    </w:lvl>
    <w:lvl w:ilvl="5" w:tplc="1576AD0A" w:tentative="1">
      <w:start w:val="1"/>
      <w:numFmt w:val="bullet"/>
      <w:lvlText w:val=""/>
      <w:lvlJc w:val="left"/>
      <w:pPr>
        <w:ind w:left="4320" w:hanging="360"/>
      </w:pPr>
      <w:rPr>
        <w:rFonts w:ascii="Wingdings" w:hAnsi="Wingdings" w:hint="default"/>
      </w:rPr>
    </w:lvl>
    <w:lvl w:ilvl="6" w:tplc="0CFEBAEC" w:tentative="1">
      <w:start w:val="1"/>
      <w:numFmt w:val="bullet"/>
      <w:lvlText w:val=""/>
      <w:lvlJc w:val="left"/>
      <w:pPr>
        <w:ind w:left="5040" w:hanging="360"/>
      </w:pPr>
      <w:rPr>
        <w:rFonts w:ascii="Symbol" w:hAnsi="Symbol" w:hint="default"/>
      </w:rPr>
    </w:lvl>
    <w:lvl w:ilvl="7" w:tplc="7C2ABAE4" w:tentative="1">
      <w:start w:val="1"/>
      <w:numFmt w:val="bullet"/>
      <w:lvlText w:val="o"/>
      <w:lvlJc w:val="left"/>
      <w:pPr>
        <w:ind w:left="5760" w:hanging="360"/>
      </w:pPr>
      <w:rPr>
        <w:rFonts w:ascii="Courier New" w:hAnsi="Courier New" w:cs="Courier New" w:hint="default"/>
      </w:rPr>
    </w:lvl>
    <w:lvl w:ilvl="8" w:tplc="3CFCF362" w:tentative="1">
      <w:start w:val="1"/>
      <w:numFmt w:val="bullet"/>
      <w:lvlText w:val=""/>
      <w:lvlJc w:val="left"/>
      <w:pPr>
        <w:ind w:left="6480" w:hanging="360"/>
      </w:pPr>
      <w:rPr>
        <w:rFonts w:ascii="Wingdings" w:hAnsi="Wingdings" w:hint="default"/>
      </w:rPr>
    </w:lvl>
  </w:abstractNum>
  <w:abstractNum w:abstractNumId="2" w15:restartNumberingAfterBreak="0">
    <w:nsid w:val="0E190FFA"/>
    <w:multiLevelType w:val="hybridMultilevel"/>
    <w:tmpl w:val="527858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60D89"/>
    <w:multiLevelType w:val="hybridMultilevel"/>
    <w:tmpl w:val="C5D645D8"/>
    <w:lvl w:ilvl="0" w:tplc="55C60E66">
      <w:start w:val="1"/>
      <w:numFmt w:val="bullet"/>
      <w:lvlText w:val=""/>
      <w:lvlJc w:val="left"/>
      <w:pPr>
        <w:ind w:left="720" w:hanging="360"/>
      </w:pPr>
      <w:rPr>
        <w:rFonts w:ascii="Symbol" w:hAnsi="Symbol" w:hint="default"/>
      </w:rPr>
    </w:lvl>
    <w:lvl w:ilvl="1" w:tplc="B7C20934" w:tentative="1">
      <w:start w:val="1"/>
      <w:numFmt w:val="bullet"/>
      <w:lvlText w:val="o"/>
      <w:lvlJc w:val="left"/>
      <w:pPr>
        <w:ind w:left="1440" w:hanging="360"/>
      </w:pPr>
      <w:rPr>
        <w:rFonts w:ascii="Courier New" w:hAnsi="Courier New" w:cs="Courier New" w:hint="default"/>
      </w:rPr>
    </w:lvl>
    <w:lvl w:ilvl="2" w:tplc="91CE2884" w:tentative="1">
      <w:start w:val="1"/>
      <w:numFmt w:val="bullet"/>
      <w:lvlText w:val=""/>
      <w:lvlJc w:val="left"/>
      <w:pPr>
        <w:ind w:left="2160" w:hanging="360"/>
      </w:pPr>
      <w:rPr>
        <w:rFonts w:ascii="Wingdings" w:hAnsi="Wingdings" w:hint="default"/>
      </w:rPr>
    </w:lvl>
    <w:lvl w:ilvl="3" w:tplc="A2923666" w:tentative="1">
      <w:start w:val="1"/>
      <w:numFmt w:val="bullet"/>
      <w:lvlText w:val=""/>
      <w:lvlJc w:val="left"/>
      <w:pPr>
        <w:ind w:left="2880" w:hanging="360"/>
      </w:pPr>
      <w:rPr>
        <w:rFonts w:ascii="Symbol" w:hAnsi="Symbol" w:hint="default"/>
      </w:rPr>
    </w:lvl>
    <w:lvl w:ilvl="4" w:tplc="6D780C7E" w:tentative="1">
      <w:start w:val="1"/>
      <w:numFmt w:val="bullet"/>
      <w:lvlText w:val="o"/>
      <w:lvlJc w:val="left"/>
      <w:pPr>
        <w:ind w:left="3600" w:hanging="360"/>
      </w:pPr>
      <w:rPr>
        <w:rFonts w:ascii="Courier New" w:hAnsi="Courier New" w:cs="Courier New" w:hint="default"/>
      </w:rPr>
    </w:lvl>
    <w:lvl w:ilvl="5" w:tplc="9C364FDC" w:tentative="1">
      <w:start w:val="1"/>
      <w:numFmt w:val="bullet"/>
      <w:lvlText w:val=""/>
      <w:lvlJc w:val="left"/>
      <w:pPr>
        <w:ind w:left="4320" w:hanging="360"/>
      </w:pPr>
      <w:rPr>
        <w:rFonts w:ascii="Wingdings" w:hAnsi="Wingdings" w:hint="default"/>
      </w:rPr>
    </w:lvl>
    <w:lvl w:ilvl="6" w:tplc="1980C7B0" w:tentative="1">
      <w:start w:val="1"/>
      <w:numFmt w:val="bullet"/>
      <w:lvlText w:val=""/>
      <w:lvlJc w:val="left"/>
      <w:pPr>
        <w:ind w:left="5040" w:hanging="360"/>
      </w:pPr>
      <w:rPr>
        <w:rFonts w:ascii="Symbol" w:hAnsi="Symbol" w:hint="default"/>
      </w:rPr>
    </w:lvl>
    <w:lvl w:ilvl="7" w:tplc="68248992" w:tentative="1">
      <w:start w:val="1"/>
      <w:numFmt w:val="bullet"/>
      <w:lvlText w:val="o"/>
      <w:lvlJc w:val="left"/>
      <w:pPr>
        <w:ind w:left="5760" w:hanging="360"/>
      </w:pPr>
      <w:rPr>
        <w:rFonts w:ascii="Courier New" w:hAnsi="Courier New" w:cs="Courier New" w:hint="default"/>
      </w:rPr>
    </w:lvl>
    <w:lvl w:ilvl="8" w:tplc="27E00EB8" w:tentative="1">
      <w:start w:val="1"/>
      <w:numFmt w:val="bullet"/>
      <w:lvlText w:val=""/>
      <w:lvlJc w:val="left"/>
      <w:pPr>
        <w:ind w:left="6480" w:hanging="360"/>
      </w:pPr>
      <w:rPr>
        <w:rFonts w:ascii="Wingdings" w:hAnsi="Wingdings" w:hint="default"/>
      </w:rPr>
    </w:lvl>
  </w:abstractNum>
  <w:abstractNum w:abstractNumId="4" w15:restartNumberingAfterBreak="0">
    <w:nsid w:val="1529788C"/>
    <w:multiLevelType w:val="hybridMultilevel"/>
    <w:tmpl w:val="A4A01B66"/>
    <w:lvl w:ilvl="0" w:tplc="A92EC176">
      <w:start w:val="1"/>
      <w:numFmt w:val="bullet"/>
      <w:lvlText w:val=""/>
      <w:lvlJc w:val="left"/>
      <w:pPr>
        <w:ind w:left="720" w:hanging="360"/>
      </w:pPr>
      <w:rPr>
        <w:rFonts w:ascii="Symbol" w:hAnsi="Symbol" w:hint="default"/>
      </w:rPr>
    </w:lvl>
    <w:lvl w:ilvl="1" w:tplc="528AD57C" w:tentative="1">
      <w:start w:val="1"/>
      <w:numFmt w:val="bullet"/>
      <w:lvlText w:val="o"/>
      <w:lvlJc w:val="left"/>
      <w:pPr>
        <w:ind w:left="1440" w:hanging="360"/>
      </w:pPr>
      <w:rPr>
        <w:rFonts w:ascii="Courier New" w:hAnsi="Courier New" w:cs="Courier New" w:hint="default"/>
      </w:rPr>
    </w:lvl>
    <w:lvl w:ilvl="2" w:tplc="98B6EF4C" w:tentative="1">
      <w:start w:val="1"/>
      <w:numFmt w:val="bullet"/>
      <w:lvlText w:val=""/>
      <w:lvlJc w:val="left"/>
      <w:pPr>
        <w:ind w:left="2160" w:hanging="360"/>
      </w:pPr>
      <w:rPr>
        <w:rFonts w:ascii="Wingdings" w:hAnsi="Wingdings" w:hint="default"/>
      </w:rPr>
    </w:lvl>
    <w:lvl w:ilvl="3" w:tplc="DE146836" w:tentative="1">
      <w:start w:val="1"/>
      <w:numFmt w:val="bullet"/>
      <w:lvlText w:val=""/>
      <w:lvlJc w:val="left"/>
      <w:pPr>
        <w:ind w:left="2880" w:hanging="360"/>
      </w:pPr>
      <w:rPr>
        <w:rFonts w:ascii="Symbol" w:hAnsi="Symbol" w:hint="default"/>
      </w:rPr>
    </w:lvl>
    <w:lvl w:ilvl="4" w:tplc="5ADE918C" w:tentative="1">
      <w:start w:val="1"/>
      <w:numFmt w:val="bullet"/>
      <w:lvlText w:val="o"/>
      <w:lvlJc w:val="left"/>
      <w:pPr>
        <w:ind w:left="3600" w:hanging="360"/>
      </w:pPr>
      <w:rPr>
        <w:rFonts w:ascii="Courier New" w:hAnsi="Courier New" w:cs="Courier New" w:hint="default"/>
      </w:rPr>
    </w:lvl>
    <w:lvl w:ilvl="5" w:tplc="55B2FD82" w:tentative="1">
      <w:start w:val="1"/>
      <w:numFmt w:val="bullet"/>
      <w:lvlText w:val=""/>
      <w:lvlJc w:val="left"/>
      <w:pPr>
        <w:ind w:left="4320" w:hanging="360"/>
      </w:pPr>
      <w:rPr>
        <w:rFonts w:ascii="Wingdings" w:hAnsi="Wingdings" w:hint="default"/>
      </w:rPr>
    </w:lvl>
    <w:lvl w:ilvl="6" w:tplc="0A4EB956" w:tentative="1">
      <w:start w:val="1"/>
      <w:numFmt w:val="bullet"/>
      <w:lvlText w:val=""/>
      <w:lvlJc w:val="left"/>
      <w:pPr>
        <w:ind w:left="5040" w:hanging="360"/>
      </w:pPr>
      <w:rPr>
        <w:rFonts w:ascii="Symbol" w:hAnsi="Symbol" w:hint="default"/>
      </w:rPr>
    </w:lvl>
    <w:lvl w:ilvl="7" w:tplc="B3C64ECA" w:tentative="1">
      <w:start w:val="1"/>
      <w:numFmt w:val="bullet"/>
      <w:lvlText w:val="o"/>
      <w:lvlJc w:val="left"/>
      <w:pPr>
        <w:ind w:left="5760" w:hanging="360"/>
      </w:pPr>
      <w:rPr>
        <w:rFonts w:ascii="Courier New" w:hAnsi="Courier New" w:cs="Courier New" w:hint="default"/>
      </w:rPr>
    </w:lvl>
    <w:lvl w:ilvl="8" w:tplc="EC72876C" w:tentative="1">
      <w:start w:val="1"/>
      <w:numFmt w:val="bullet"/>
      <w:lvlText w:val=""/>
      <w:lvlJc w:val="left"/>
      <w:pPr>
        <w:ind w:left="6480" w:hanging="360"/>
      </w:pPr>
      <w:rPr>
        <w:rFonts w:ascii="Wingdings" w:hAnsi="Wingdings" w:hint="default"/>
      </w:rPr>
    </w:lvl>
  </w:abstractNum>
  <w:abstractNum w:abstractNumId="5" w15:restartNumberingAfterBreak="0">
    <w:nsid w:val="176B18BA"/>
    <w:multiLevelType w:val="hybridMultilevel"/>
    <w:tmpl w:val="7DAA5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571B7"/>
    <w:multiLevelType w:val="hybridMultilevel"/>
    <w:tmpl w:val="9EEAE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769A8"/>
    <w:multiLevelType w:val="multilevel"/>
    <w:tmpl w:val="602277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DC55AC"/>
    <w:multiLevelType w:val="hybridMultilevel"/>
    <w:tmpl w:val="DB12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41DD1"/>
    <w:multiLevelType w:val="hybridMultilevel"/>
    <w:tmpl w:val="3542A188"/>
    <w:lvl w:ilvl="0" w:tplc="C50A8752">
      <w:start w:val="1"/>
      <w:numFmt w:val="bullet"/>
      <w:lvlText w:val=""/>
      <w:lvlJc w:val="left"/>
      <w:pPr>
        <w:ind w:left="360" w:hanging="360"/>
      </w:pPr>
      <w:rPr>
        <w:rFonts w:ascii="Symbol" w:hAnsi="Symbol" w:hint="default"/>
      </w:rPr>
    </w:lvl>
    <w:lvl w:ilvl="1" w:tplc="B5ECB228">
      <w:start w:val="1"/>
      <w:numFmt w:val="bullet"/>
      <w:lvlText w:val="o"/>
      <w:lvlJc w:val="left"/>
      <w:pPr>
        <w:ind w:left="1080" w:hanging="360"/>
      </w:pPr>
      <w:rPr>
        <w:rFonts w:ascii="Courier New" w:hAnsi="Courier New" w:cs="Courier New" w:hint="default"/>
      </w:rPr>
    </w:lvl>
    <w:lvl w:ilvl="2" w:tplc="3D1825C2">
      <w:start w:val="1"/>
      <w:numFmt w:val="bullet"/>
      <w:lvlText w:val=""/>
      <w:lvlJc w:val="left"/>
      <w:pPr>
        <w:ind w:left="1800" w:hanging="360"/>
      </w:pPr>
      <w:rPr>
        <w:rFonts w:ascii="Wingdings" w:hAnsi="Wingdings" w:hint="default"/>
      </w:rPr>
    </w:lvl>
    <w:lvl w:ilvl="3" w:tplc="F87C40C2">
      <w:start w:val="1"/>
      <w:numFmt w:val="bullet"/>
      <w:lvlText w:val=""/>
      <w:lvlJc w:val="left"/>
      <w:pPr>
        <w:ind w:left="2520" w:hanging="360"/>
      </w:pPr>
      <w:rPr>
        <w:rFonts w:ascii="Symbol" w:hAnsi="Symbol" w:hint="default"/>
      </w:rPr>
    </w:lvl>
    <w:lvl w:ilvl="4" w:tplc="C5640FBA">
      <w:start w:val="1"/>
      <w:numFmt w:val="bullet"/>
      <w:lvlText w:val="o"/>
      <w:lvlJc w:val="left"/>
      <w:pPr>
        <w:ind w:left="3240" w:hanging="360"/>
      </w:pPr>
      <w:rPr>
        <w:rFonts w:ascii="Courier New" w:hAnsi="Courier New" w:cs="Courier New" w:hint="default"/>
      </w:rPr>
    </w:lvl>
    <w:lvl w:ilvl="5" w:tplc="9BC44348">
      <w:start w:val="1"/>
      <w:numFmt w:val="bullet"/>
      <w:lvlText w:val=""/>
      <w:lvlJc w:val="left"/>
      <w:pPr>
        <w:ind w:left="3960" w:hanging="360"/>
      </w:pPr>
      <w:rPr>
        <w:rFonts w:ascii="Wingdings" w:hAnsi="Wingdings" w:hint="default"/>
      </w:rPr>
    </w:lvl>
    <w:lvl w:ilvl="6" w:tplc="7576A9BA">
      <w:start w:val="1"/>
      <w:numFmt w:val="bullet"/>
      <w:lvlText w:val=""/>
      <w:lvlJc w:val="left"/>
      <w:pPr>
        <w:ind w:left="4680" w:hanging="360"/>
      </w:pPr>
      <w:rPr>
        <w:rFonts w:ascii="Symbol" w:hAnsi="Symbol" w:hint="default"/>
      </w:rPr>
    </w:lvl>
    <w:lvl w:ilvl="7" w:tplc="E55A460A">
      <w:start w:val="1"/>
      <w:numFmt w:val="bullet"/>
      <w:lvlText w:val="o"/>
      <w:lvlJc w:val="left"/>
      <w:pPr>
        <w:ind w:left="5400" w:hanging="360"/>
      </w:pPr>
      <w:rPr>
        <w:rFonts w:ascii="Courier New" w:hAnsi="Courier New" w:cs="Courier New" w:hint="default"/>
      </w:rPr>
    </w:lvl>
    <w:lvl w:ilvl="8" w:tplc="586C7CE6">
      <w:start w:val="1"/>
      <w:numFmt w:val="bullet"/>
      <w:lvlText w:val=""/>
      <w:lvlJc w:val="left"/>
      <w:pPr>
        <w:ind w:left="6120" w:hanging="360"/>
      </w:pPr>
      <w:rPr>
        <w:rFonts w:ascii="Wingdings" w:hAnsi="Wingdings" w:hint="default"/>
      </w:rPr>
    </w:lvl>
  </w:abstractNum>
  <w:abstractNum w:abstractNumId="10" w15:restartNumberingAfterBreak="0">
    <w:nsid w:val="423C3EA4"/>
    <w:multiLevelType w:val="hybridMultilevel"/>
    <w:tmpl w:val="B6E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477A0"/>
    <w:multiLevelType w:val="multilevel"/>
    <w:tmpl w:val="F57E950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EE2A94"/>
    <w:multiLevelType w:val="multilevel"/>
    <w:tmpl w:val="73FCEC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8749FA"/>
    <w:multiLevelType w:val="multilevel"/>
    <w:tmpl w:val="8228CF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89161EA"/>
    <w:multiLevelType w:val="hybridMultilevel"/>
    <w:tmpl w:val="D284CED2"/>
    <w:lvl w:ilvl="0" w:tplc="572CC6FA">
      <w:start w:val="1"/>
      <w:numFmt w:val="decimal"/>
      <w:lvlText w:val="%1."/>
      <w:lvlJc w:val="left"/>
      <w:pPr>
        <w:ind w:left="218" w:hanging="360"/>
      </w:pPr>
    </w:lvl>
    <w:lvl w:ilvl="1" w:tplc="FBC2017E">
      <w:start w:val="1"/>
      <w:numFmt w:val="lowerLetter"/>
      <w:lvlText w:val="%2."/>
      <w:lvlJc w:val="left"/>
      <w:pPr>
        <w:ind w:left="938" w:hanging="360"/>
      </w:pPr>
    </w:lvl>
    <w:lvl w:ilvl="2" w:tplc="8BC47284">
      <w:start w:val="1"/>
      <w:numFmt w:val="lowerRoman"/>
      <w:lvlText w:val="%3."/>
      <w:lvlJc w:val="right"/>
      <w:pPr>
        <w:ind w:left="1658" w:hanging="180"/>
      </w:pPr>
    </w:lvl>
    <w:lvl w:ilvl="3" w:tplc="CDDE50F0">
      <w:start w:val="1"/>
      <w:numFmt w:val="decimal"/>
      <w:lvlText w:val="%4."/>
      <w:lvlJc w:val="left"/>
      <w:pPr>
        <w:ind w:left="2378" w:hanging="360"/>
      </w:pPr>
    </w:lvl>
    <w:lvl w:ilvl="4" w:tplc="87BE080E">
      <w:start w:val="1"/>
      <w:numFmt w:val="lowerLetter"/>
      <w:lvlText w:val="%5."/>
      <w:lvlJc w:val="left"/>
      <w:pPr>
        <w:ind w:left="3098" w:hanging="360"/>
      </w:pPr>
    </w:lvl>
    <w:lvl w:ilvl="5" w:tplc="5D804FF2">
      <w:start w:val="1"/>
      <w:numFmt w:val="lowerRoman"/>
      <w:lvlText w:val="%6."/>
      <w:lvlJc w:val="right"/>
      <w:pPr>
        <w:ind w:left="3818" w:hanging="180"/>
      </w:pPr>
    </w:lvl>
    <w:lvl w:ilvl="6" w:tplc="6180FE2C">
      <w:start w:val="1"/>
      <w:numFmt w:val="decimal"/>
      <w:lvlText w:val="%7."/>
      <w:lvlJc w:val="left"/>
      <w:pPr>
        <w:ind w:left="4538" w:hanging="360"/>
      </w:pPr>
    </w:lvl>
    <w:lvl w:ilvl="7" w:tplc="6DC0F6D4">
      <w:start w:val="1"/>
      <w:numFmt w:val="lowerLetter"/>
      <w:lvlText w:val="%8."/>
      <w:lvlJc w:val="left"/>
      <w:pPr>
        <w:ind w:left="5258" w:hanging="360"/>
      </w:pPr>
    </w:lvl>
    <w:lvl w:ilvl="8" w:tplc="E222CDF8">
      <w:start w:val="1"/>
      <w:numFmt w:val="lowerRoman"/>
      <w:lvlText w:val="%9."/>
      <w:lvlJc w:val="right"/>
      <w:pPr>
        <w:ind w:left="5978" w:hanging="180"/>
      </w:pPr>
    </w:lvl>
  </w:abstractNum>
  <w:abstractNum w:abstractNumId="15" w15:restartNumberingAfterBreak="0">
    <w:nsid w:val="746801C5"/>
    <w:multiLevelType w:val="hybridMultilevel"/>
    <w:tmpl w:val="0108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E2F9B"/>
    <w:multiLevelType w:val="hybridMultilevel"/>
    <w:tmpl w:val="35DED682"/>
    <w:lvl w:ilvl="0" w:tplc="EA50A254">
      <w:start w:val="1"/>
      <w:numFmt w:val="bullet"/>
      <w:lvlText w:val=""/>
      <w:lvlJc w:val="left"/>
      <w:pPr>
        <w:ind w:left="720" w:hanging="360"/>
      </w:pPr>
      <w:rPr>
        <w:rFonts w:ascii="Symbol" w:hAnsi="Symbol" w:hint="default"/>
      </w:rPr>
    </w:lvl>
    <w:lvl w:ilvl="1" w:tplc="F20A0FA2" w:tentative="1">
      <w:start w:val="1"/>
      <w:numFmt w:val="bullet"/>
      <w:lvlText w:val="o"/>
      <w:lvlJc w:val="left"/>
      <w:pPr>
        <w:ind w:left="1440" w:hanging="360"/>
      </w:pPr>
      <w:rPr>
        <w:rFonts w:ascii="Courier New" w:hAnsi="Courier New" w:cs="Courier New" w:hint="default"/>
      </w:rPr>
    </w:lvl>
    <w:lvl w:ilvl="2" w:tplc="09CC1E90" w:tentative="1">
      <w:start w:val="1"/>
      <w:numFmt w:val="bullet"/>
      <w:lvlText w:val=""/>
      <w:lvlJc w:val="left"/>
      <w:pPr>
        <w:ind w:left="2160" w:hanging="360"/>
      </w:pPr>
      <w:rPr>
        <w:rFonts w:ascii="Wingdings" w:hAnsi="Wingdings" w:hint="default"/>
      </w:rPr>
    </w:lvl>
    <w:lvl w:ilvl="3" w:tplc="BA62CA64" w:tentative="1">
      <w:start w:val="1"/>
      <w:numFmt w:val="bullet"/>
      <w:lvlText w:val=""/>
      <w:lvlJc w:val="left"/>
      <w:pPr>
        <w:ind w:left="2880" w:hanging="360"/>
      </w:pPr>
      <w:rPr>
        <w:rFonts w:ascii="Symbol" w:hAnsi="Symbol" w:hint="default"/>
      </w:rPr>
    </w:lvl>
    <w:lvl w:ilvl="4" w:tplc="11AEAEC2" w:tentative="1">
      <w:start w:val="1"/>
      <w:numFmt w:val="bullet"/>
      <w:lvlText w:val="o"/>
      <w:lvlJc w:val="left"/>
      <w:pPr>
        <w:ind w:left="3600" w:hanging="360"/>
      </w:pPr>
      <w:rPr>
        <w:rFonts w:ascii="Courier New" w:hAnsi="Courier New" w:cs="Courier New" w:hint="default"/>
      </w:rPr>
    </w:lvl>
    <w:lvl w:ilvl="5" w:tplc="D9922F40" w:tentative="1">
      <w:start w:val="1"/>
      <w:numFmt w:val="bullet"/>
      <w:lvlText w:val=""/>
      <w:lvlJc w:val="left"/>
      <w:pPr>
        <w:ind w:left="4320" w:hanging="360"/>
      </w:pPr>
      <w:rPr>
        <w:rFonts w:ascii="Wingdings" w:hAnsi="Wingdings" w:hint="default"/>
      </w:rPr>
    </w:lvl>
    <w:lvl w:ilvl="6" w:tplc="EE98DC3C" w:tentative="1">
      <w:start w:val="1"/>
      <w:numFmt w:val="bullet"/>
      <w:lvlText w:val=""/>
      <w:lvlJc w:val="left"/>
      <w:pPr>
        <w:ind w:left="5040" w:hanging="360"/>
      </w:pPr>
      <w:rPr>
        <w:rFonts w:ascii="Symbol" w:hAnsi="Symbol" w:hint="default"/>
      </w:rPr>
    </w:lvl>
    <w:lvl w:ilvl="7" w:tplc="80CEEE7C" w:tentative="1">
      <w:start w:val="1"/>
      <w:numFmt w:val="bullet"/>
      <w:lvlText w:val="o"/>
      <w:lvlJc w:val="left"/>
      <w:pPr>
        <w:ind w:left="5760" w:hanging="360"/>
      </w:pPr>
      <w:rPr>
        <w:rFonts w:ascii="Courier New" w:hAnsi="Courier New" w:cs="Courier New" w:hint="default"/>
      </w:rPr>
    </w:lvl>
    <w:lvl w:ilvl="8" w:tplc="A8EC08C6" w:tentative="1">
      <w:start w:val="1"/>
      <w:numFmt w:val="bullet"/>
      <w:lvlText w:val=""/>
      <w:lvlJc w:val="left"/>
      <w:pPr>
        <w:ind w:left="6480" w:hanging="360"/>
      </w:pPr>
      <w:rPr>
        <w:rFonts w:ascii="Wingdings" w:hAnsi="Wingdings" w:hint="default"/>
      </w:rPr>
    </w:lvl>
  </w:abstractNum>
  <w:num w:numId="1" w16cid:durableId="575674567">
    <w:abstractNumId w:val="3"/>
  </w:num>
  <w:num w:numId="2" w16cid:durableId="54277909">
    <w:abstractNumId w:val="16"/>
  </w:num>
  <w:num w:numId="3" w16cid:durableId="2141415582">
    <w:abstractNumId w:val="4"/>
  </w:num>
  <w:num w:numId="4" w16cid:durableId="2116098143">
    <w:abstractNumId w:val="1"/>
  </w:num>
  <w:num w:numId="5" w16cid:durableId="1587377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3407761">
    <w:abstractNumId w:val="13"/>
  </w:num>
  <w:num w:numId="7" w16cid:durableId="653023605">
    <w:abstractNumId w:val="9"/>
  </w:num>
  <w:num w:numId="8" w16cid:durableId="207083787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068201">
    <w:abstractNumId w:val="10"/>
  </w:num>
  <w:num w:numId="10" w16cid:durableId="1287470883">
    <w:abstractNumId w:val="15"/>
  </w:num>
  <w:num w:numId="11" w16cid:durableId="1695694246">
    <w:abstractNumId w:val="11"/>
  </w:num>
  <w:num w:numId="12" w16cid:durableId="1171602110">
    <w:abstractNumId w:val="8"/>
  </w:num>
  <w:num w:numId="13" w16cid:durableId="522128944">
    <w:abstractNumId w:val="7"/>
  </w:num>
  <w:num w:numId="14" w16cid:durableId="593629338">
    <w:abstractNumId w:val="2"/>
  </w:num>
  <w:num w:numId="15" w16cid:durableId="1404916628">
    <w:abstractNumId w:val="12"/>
  </w:num>
  <w:num w:numId="16" w16cid:durableId="356929945">
    <w:abstractNumId w:val="5"/>
  </w:num>
  <w:num w:numId="17" w16cid:durableId="56130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F6A"/>
    <w:rsid w:val="000002FF"/>
    <w:rsid w:val="00001F21"/>
    <w:rsid w:val="00015224"/>
    <w:rsid w:val="00017B00"/>
    <w:rsid w:val="00022297"/>
    <w:rsid w:val="0002374E"/>
    <w:rsid w:val="000257B1"/>
    <w:rsid w:val="00035503"/>
    <w:rsid w:val="000400DA"/>
    <w:rsid w:val="00041957"/>
    <w:rsid w:val="000448F5"/>
    <w:rsid w:val="0004640E"/>
    <w:rsid w:val="0005260B"/>
    <w:rsid w:val="00054E0A"/>
    <w:rsid w:val="00062668"/>
    <w:rsid w:val="00065F26"/>
    <w:rsid w:val="000742D1"/>
    <w:rsid w:val="00082D91"/>
    <w:rsid w:val="00084A91"/>
    <w:rsid w:val="0009288A"/>
    <w:rsid w:val="000974BF"/>
    <w:rsid w:val="000A0ADC"/>
    <w:rsid w:val="000B367C"/>
    <w:rsid w:val="000B5041"/>
    <w:rsid w:val="000B5CB9"/>
    <w:rsid w:val="000D16D8"/>
    <w:rsid w:val="000D2739"/>
    <w:rsid w:val="000E0102"/>
    <w:rsid w:val="000E6F5A"/>
    <w:rsid w:val="000E75C9"/>
    <w:rsid w:val="000F2193"/>
    <w:rsid w:val="000F7D1D"/>
    <w:rsid w:val="00102534"/>
    <w:rsid w:val="001066AE"/>
    <w:rsid w:val="001227D7"/>
    <w:rsid w:val="00125C5A"/>
    <w:rsid w:val="00134CC7"/>
    <w:rsid w:val="0014065E"/>
    <w:rsid w:val="00150D20"/>
    <w:rsid w:val="00153818"/>
    <w:rsid w:val="0016317B"/>
    <w:rsid w:val="001666DA"/>
    <w:rsid w:val="0017017D"/>
    <w:rsid w:val="00172058"/>
    <w:rsid w:val="00174915"/>
    <w:rsid w:val="001805EE"/>
    <w:rsid w:val="00182A1B"/>
    <w:rsid w:val="00190ADF"/>
    <w:rsid w:val="001916C0"/>
    <w:rsid w:val="001922F6"/>
    <w:rsid w:val="00192E39"/>
    <w:rsid w:val="00193925"/>
    <w:rsid w:val="00196611"/>
    <w:rsid w:val="001A1EBB"/>
    <w:rsid w:val="001A4FDA"/>
    <w:rsid w:val="001B0868"/>
    <w:rsid w:val="001B3AC2"/>
    <w:rsid w:val="001B49C8"/>
    <w:rsid w:val="001D3586"/>
    <w:rsid w:val="001E0DA5"/>
    <w:rsid w:val="001E1169"/>
    <w:rsid w:val="001E5E7B"/>
    <w:rsid w:val="001E5F94"/>
    <w:rsid w:val="001E726A"/>
    <w:rsid w:val="001F0704"/>
    <w:rsid w:val="001F09C5"/>
    <w:rsid w:val="001F1680"/>
    <w:rsid w:val="001F1EF5"/>
    <w:rsid w:val="001F672D"/>
    <w:rsid w:val="00200844"/>
    <w:rsid w:val="0020445E"/>
    <w:rsid w:val="002065DA"/>
    <w:rsid w:val="00206F3C"/>
    <w:rsid w:val="002104E7"/>
    <w:rsid w:val="00221C44"/>
    <w:rsid w:val="00222231"/>
    <w:rsid w:val="0022408A"/>
    <w:rsid w:val="00226537"/>
    <w:rsid w:val="00226629"/>
    <w:rsid w:val="002317E9"/>
    <w:rsid w:val="0023369D"/>
    <w:rsid w:val="00233B5B"/>
    <w:rsid w:val="002344A5"/>
    <w:rsid w:val="002376A1"/>
    <w:rsid w:val="00241567"/>
    <w:rsid w:val="0024290F"/>
    <w:rsid w:val="00253243"/>
    <w:rsid w:val="002549E3"/>
    <w:rsid w:val="0026380D"/>
    <w:rsid w:val="00263EDA"/>
    <w:rsid w:val="002823A0"/>
    <w:rsid w:val="002A4A66"/>
    <w:rsid w:val="002A4DD8"/>
    <w:rsid w:val="002B4333"/>
    <w:rsid w:val="002C623C"/>
    <w:rsid w:val="002E1234"/>
    <w:rsid w:val="002E31BB"/>
    <w:rsid w:val="002E4A14"/>
    <w:rsid w:val="002F4DBE"/>
    <w:rsid w:val="002F57F1"/>
    <w:rsid w:val="00303742"/>
    <w:rsid w:val="00303B14"/>
    <w:rsid w:val="00312FA4"/>
    <w:rsid w:val="00315216"/>
    <w:rsid w:val="003236E3"/>
    <w:rsid w:val="00327836"/>
    <w:rsid w:val="00330593"/>
    <w:rsid w:val="0033308D"/>
    <w:rsid w:val="00343D1C"/>
    <w:rsid w:val="00347EC6"/>
    <w:rsid w:val="003540C6"/>
    <w:rsid w:val="0035652C"/>
    <w:rsid w:val="003673C0"/>
    <w:rsid w:val="00373267"/>
    <w:rsid w:val="003739F4"/>
    <w:rsid w:val="00374A94"/>
    <w:rsid w:val="00375FDB"/>
    <w:rsid w:val="0037633C"/>
    <w:rsid w:val="003850D6"/>
    <w:rsid w:val="00387E6C"/>
    <w:rsid w:val="0039449B"/>
    <w:rsid w:val="003A1599"/>
    <w:rsid w:val="003A15FC"/>
    <w:rsid w:val="003A2B51"/>
    <w:rsid w:val="003A7B81"/>
    <w:rsid w:val="003A7BE9"/>
    <w:rsid w:val="003B6A3F"/>
    <w:rsid w:val="003B7175"/>
    <w:rsid w:val="003C0B20"/>
    <w:rsid w:val="003C209F"/>
    <w:rsid w:val="003C397E"/>
    <w:rsid w:val="003C4BC5"/>
    <w:rsid w:val="003D0D7B"/>
    <w:rsid w:val="003D7BFC"/>
    <w:rsid w:val="003F11E4"/>
    <w:rsid w:val="003F25EA"/>
    <w:rsid w:val="003F727C"/>
    <w:rsid w:val="00401EB5"/>
    <w:rsid w:val="00407357"/>
    <w:rsid w:val="00410B71"/>
    <w:rsid w:val="00411D0A"/>
    <w:rsid w:val="00413951"/>
    <w:rsid w:val="00413A43"/>
    <w:rsid w:val="00414CBB"/>
    <w:rsid w:val="004259EF"/>
    <w:rsid w:val="00430646"/>
    <w:rsid w:val="00435007"/>
    <w:rsid w:val="00440F6A"/>
    <w:rsid w:val="00442C68"/>
    <w:rsid w:val="0044360A"/>
    <w:rsid w:val="0044572D"/>
    <w:rsid w:val="0045037F"/>
    <w:rsid w:val="00455D9B"/>
    <w:rsid w:val="004574D0"/>
    <w:rsid w:val="00460091"/>
    <w:rsid w:val="004659F9"/>
    <w:rsid w:val="0047182A"/>
    <w:rsid w:val="00476898"/>
    <w:rsid w:val="004805BE"/>
    <w:rsid w:val="00495E4F"/>
    <w:rsid w:val="004A0B50"/>
    <w:rsid w:val="004B02C9"/>
    <w:rsid w:val="004B483B"/>
    <w:rsid w:val="004B619E"/>
    <w:rsid w:val="004C2AD8"/>
    <w:rsid w:val="004C3B9D"/>
    <w:rsid w:val="004C42D5"/>
    <w:rsid w:val="004D04E2"/>
    <w:rsid w:val="004D4117"/>
    <w:rsid w:val="004E152A"/>
    <w:rsid w:val="004E3266"/>
    <w:rsid w:val="004E37FE"/>
    <w:rsid w:val="004E4B15"/>
    <w:rsid w:val="004E6D90"/>
    <w:rsid w:val="004E7FD1"/>
    <w:rsid w:val="004F2114"/>
    <w:rsid w:val="004F6590"/>
    <w:rsid w:val="004F6BCB"/>
    <w:rsid w:val="004F7835"/>
    <w:rsid w:val="004F7E22"/>
    <w:rsid w:val="00500B12"/>
    <w:rsid w:val="00500E4C"/>
    <w:rsid w:val="005023C6"/>
    <w:rsid w:val="00505BE2"/>
    <w:rsid w:val="00516FB0"/>
    <w:rsid w:val="00520E5D"/>
    <w:rsid w:val="005229F6"/>
    <w:rsid w:val="00532B79"/>
    <w:rsid w:val="005333F8"/>
    <w:rsid w:val="005353D6"/>
    <w:rsid w:val="00543931"/>
    <w:rsid w:val="00545AFA"/>
    <w:rsid w:val="00547646"/>
    <w:rsid w:val="005503E3"/>
    <w:rsid w:val="00552096"/>
    <w:rsid w:val="00557567"/>
    <w:rsid w:val="0056647F"/>
    <w:rsid w:val="00567E60"/>
    <w:rsid w:val="00570936"/>
    <w:rsid w:val="005743FA"/>
    <w:rsid w:val="00575F9F"/>
    <w:rsid w:val="0057676A"/>
    <w:rsid w:val="0057744E"/>
    <w:rsid w:val="0058020D"/>
    <w:rsid w:val="005922EB"/>
    <w:rsid w:val="005924F1"/>
    <w:rsid w:val="0059382F"/>
    <w:rsid w:val="00593A55"/>
    <w:rsid w:val="00594D5F"/>
    <w:rsid w:val="005962FC"/>
    <w:rsid w:val="00596D1E"/>
    <w:rsid w:val="00596D6A"/>
    <w:rsid w:val="005A24D4"/>
    <w:rsid w:val="005A4895"/>
    <w:rsid w:val="005B3F1B"/>
    <w:rsid w:val="005C329C"/>
    <w:rsid w:val="005C624F"/>
    <w:rsid w:val="005E0A5B"/>
    <w:rsid w:val="005E56D8"/>
    <w:rsid w:val="005E68AF"/>
    <w:rsid w:val="005E6FDB"/>
    <w:rsid w:val="005F3A09"/>
    <w:rsid w:val="005F5D45"/>
    <w:rsid w:val="00600541"/>
    <w:rsid w:val="0060164E"/>
    <w:rsid w:val="00610FE7"/>
    <w:rsid w:val="0061405B"/>
    <w:rsid w:val="006303E0"/>
    <w:rsid w:val="00634EC5"/>
    <w:rsid w:val="00643CA4"/>
    <w:rsid w:val="0065532D"/>
    <w:rsid w:val="00656EEC"/>
    <w:rsid w:val="006619DE"/>
    <w:rsid w:val="00665918"/>
    <w:rsid w:val="00665FE9"/>
    <w:rsid w:val="0066642A"/>
    <w:rsid w:val="006736E6"/>
    <w:rsid w:val="00676189"/>
    <w:rsid w:val="0067643C"/>
    <w:rsid w:val="0068257C"/>
    <w:rsid w:val="00685C35"/>
    <w:rsid w:val="00686053"/>
    <w:rsid w:val="00690869"/>
    <w:rsid w:val="006A1583"/>
    <w:rsid w:val="006A2732"/>
    <w:rsid w:val="006A393D"/>
    <w:rsid w:val="006B5D45"/>
    <w:rsid w:val="006B61A1"/>
    <w:rsid w:val="006B71A4"/>
    <w:rsid w:val="006D4DB4"/>
    <w:rsid w:val="006D6980"/>
    <w:rsid w:val="006F0C2B"/>
    <w:rsid w:val="00720234"/>
    <w:rsid w:val="00722828"/>
    <w:rsid w:val="00722B5A"/>
    <w:rsid w:val="00722FEA"/>
    <w:rsid w:val="00735BEF"/>
    <w:rsid w:val="00741730"/>
    <w:rsid w:val="007479A4"/>
    <w:rsid w:val="00750A5E"/>
    <w:rsid w:val="007510FA"/>
    <w:rsid w:val="007520F5"/>
    <w:rsid w:val="00762860"/>
    <w:rsid w:val="00771E8E"/>
    <w:rsid w:val="007726F0"/>
    <w:rsid w:val="00773B28"/>
    <w:rsid w:val="0077405F"/>
    <w:rsid w:val="00792580"/>
    <w:rsid w:val="00792700"/>
    <w:rsid w:val="007942C5"/>
    <w:rsid w:val="007A3461"/>
    <w:rsid w:val="007A63AA"/>
    <w:rsid w:val="007C13DC"/>
    <w:rsid w:val="007C2A39"/>
    <w:rsid w:val="007C43F5"/>
    <w:rsid w:val="007C62AE"/>
    <w:rsid w:val="007C7D8F"/>
    <w:rsid w:val="007D09E3"/>
    <w:rsid w:val="007D3EFC"/>
    <w:rsid w:val="007E6239"/>
    <w:rsid w:val="007F1B79"/>
    <w:rsid w:val="007F42DF"/>
    <w:rsid w:val="00802243"/>
    <w:rsid w:val="008049F2"/>
    <w:rsid w:val="00807C4B"/>
    <w:rsid w:val="00807D72"/>
    <w:rsid w:val="00810BB6"/>
    <w:rsid w:val="008347E2"/>
    <w:rsid w:val="008360E7"/>
    <w:rsid w:val="00840E38"/>
    <w:rsid w:val="008427F3"/>
    <w:rsid w:val="00844E0A"/>
    <w:rsid w:val="00846FD2"/>
    <w:rsid w:val="00847B98"/>
    <w:rsid w:val="00850A3A"/>
    <w:rsid w:val="00852A42"/>
    <w:rsid w:val="00857C0A"/>
    <w:rsid w:val="00861F04"/>
    <w:rsid w:val="00867FF4"/>
    <w:rsid w:val="00876542"/>
    <w:rsid w:val="00880408"/>
    <w:rsid w:val="0088115F"/>
    <w:rsid w:val="00884911"/>
    <w:rsid w:val="00884926"/>
    <w:rsid w:val="00891947"/>
    <w:rsid w:val="0089317A"/>
    <w:rsid w:val="008946E8"/>
    <w:rsid w:val="008A55BD"/>
    <w:rsid w:val="008C14FA"/>
    <w:rsid w:val="008D071D"/>
    <w:rsid w:val="008D4FCC"/>
    <w:rsid w:val="008E03E7"/>
    <w:rsid w:val="008F0B5F"/>
    <w:rsid w:val="009001CE"/>
    <w:rsid w:val="009068C5"/>
    <w:rsid w:val="009102C1"/>
    <w:rsid w:val="009137A5"/>
    <w:rsid w:val="00920A20"/>
    <w:rsid w:val="00925FCD"/>
    <w:rsid w:val="009268E9"/>
    <w:rsid w:val="00926BF4"/>
    <w:rsid w:val="00926C3F"/>
    <w:rsid w:val="00934DF8"/>
    <w:rsid w:val="00946DB8"/>
    <w:rsid w:val="00963A13"/>
    <w:rsid w:val="009647C1"/>
    <w:rsid w:val="00970927"/>
    <w:rsid w:val="0098264F"/>
    <w:rsid w:val="00983331"/>
    <w:rsid w:val="00993B55"/>
    <w:rsid w:val="009A45BB"/>
    <w:rsid w:val="009B108D"/>
    <w:rsid w:val="009B5C21"/>
    <w:rsid w:val="009D1B4D"/>
    <w:rsid w:val="009D435E"/>
    <w:rsid w:val="009D6EB3"/>
    <w:rsid w:val="009D7BCC"/>
    <w:rsid w:val="009E11D3"/>
    <w:rsid w:val="009E3B78"/>
    <w:rsid w:val="009E3F2C"/>
    <w:rsid w:val="009F05FA"/>
    <w:rsid w:val="009F3706"/>
    <w:rsid w:val="009F3A2E"/>
    <w:rsid w:val="009F531A"/>
    <w:rsid w:val="009F54EF"/>
    <w:rsid w:val="009F64D8"/>
    <w:rsid w:val="00A020C9"/>
    <w:rsid w:val="00A04FFB"/>
    <w:rsid w:val="00A07C30"/>
    <w:rsid w:val="00A13A2C"/>
    <w:rsid w:val="00A14861"/>
    <w:rsid w:val="00A163EA"/>
    <w:rsid w:val="00A238B4"/>
    <w:rsid w:val="00A259CF"/>
    <w:rsid w:val="00A25C31"/>
    <w:rsid w:val="00A33F18"/>
    <w:rsid w:val="00A365C7"/>
    <w:rsid w:val="00A372BE"/>
    <w:rsid w:val="00A41D36"/>
    <w:rsid w:val="00A4466C"/>
    <w:rsid w:val="00A51EB2"/>
    <w:rsid w:val="00A51FFD"/>
    <w:rsid w:val="00A52530"/>
    <w:rsid w:val="00A57B15"/>
    <w:rsid w:val="00A57C60"/>
    <w:rsid w:val="00A70357"/>
    <w:rsid w:val="00A70F3B"/>
    <w:rsid w:val="00A76033"/>
    <w:rsid w:val="00A91A88"/>
    <w:rsid w:val="00A9386B"/>
    <w:rsid w:val="00AA6679"/>
    <w:rsid w:val="00AB0D51"/>
    <w:rsid w:val="00AB3E86"/>
    <w:rsid w:val="00AB714B"/>
    <w:rsid w:val="00AC4EA1"/>
    <w:rsid w:val="00AC68D4"/>
    <w:rsid w:val="00AD0120"/>
    <w:rsid w:val="00AD2530"/>
    <w:rsid w:val="00AF10DD"/>
    <w:rsid w:val="00AF48F3"/>
    <w:rsid w:val="00AF6140"/>
    <w:rsid w:val="00AF6F3E"/>
    <w:rsid w:val="00B01B68"/>
    <w:rsid w:val="00B15CF0"/>
    <w:rsid w:val="00B2606D"/>
    <w:rsid w:val="00B31445"/>
    <w:rsid w:val="00B33B7A"/>
    <w:rsid w:val="00B34F4D"/>
    <w:rsid w:val="00B36ADA"/>
    <w:rsid w:val="00B47C2F"/>
    <w:rsid w:val="00B52216"/>
    <w:rsid w:val="00B60C13"/>
    <w:rsid w:val="00B63660"/>
    <w:rsid w:val="00B67F61"/>
    <w:rsid w:val="00B71C5A"/>
    <w:rsid w:val="00B83805"/>
    <w:rsid w:val="00B933D8"/>
    <w:rsid w:val="00B949FE"/>
    <w:rsid w:val="00B961DC"/>
    <w:rsid w:val="00B962D1"/>
    <w:rsid w:val="00BA02AB"/>
    <w:rsid w:val="00BA0B45"/>
    <w:rsid w:val="00BA2AFF"/>
    <w:rsid w:val="00BA2FA6"/>
    <w:rsid w:val="00BB1FB0"/>
    <w:rsid w:val="00BB281D"/>
    <w:rsid w:val="00BD7811"/>
    <w:rsid w:val="00BD78E5"/>
    <w:rsid w:val="00BE1763"/>
    <w:rsid w:val="00BE3D44"/>
    <w:rsid w:val="00BF1A6E"/>
    <w:rsid w:val="00BF2495"/>
    <w:rsid w:val="00BF2C68"/>
    <w:rsid w:val="00BF444E"/>
    <w:rsid w:val="00BF4CEC"/>
    <w:rsid w:val="00C01C10"/>
    <w:rsid w:val="00C034F0"/>
    <w:rsid w:val="00C07FAB"/>
    <w:rsid w:val="00C10A0E"/>
    <w:rsid w:val="00C213B6"/>
    <w:rsid w:val="00C328F0"/>
    <w:rsid w:val="00C41902"/>
    <w:rsid w:val="00C43494"/>
    <w:rsid w:val="00C5232E"/>
    <w:rsid w:val="00C61C66"/>
    <w:rsid w:val="00C668A2"/>
    <w:rsid w:val="00C7004D"/>
    <w:rsid w:val="00C7691F"/>
    <w:rsid w:val="00C80691"/>
    <w:rsid w:val="00C86042"/>
    <w:rsid w:val="00C90D35"/>
    <w:rsid w:val="00C9141A"/>
    <w:rsid w:val="00C941BD"/>
    <w:rsid w:val="00C956F1"/>
    <w:rsid w:val="00C96EDC"/>
    <w:rsid w:val="00C970F5"/>
    <w:rsid w:val="00CA2DDE"/>
    <w:rsid w:val="00CA7E28"/>
    <w:rsid w:val="00CB08DE"/>
    <w:rsid w:val="00CB0C33"/>
    <w:rsid w:val="00CB4A2A"/>
    <w:rsid w:val="00CB58CE"/>
    <w:rsid w:val="00CB5C8D"/>
    <w:rsid w:val="00CC28F8"/>
    <w:rsid w:val="00CC4CFC"/>
    <w:rsid w:val="00CC5FFB"/>
    <w:rsid w:val="00CC7227"/>
    <w:rsid w:val="00CD359C"/>
    <w:rsid w:val="00CE5CB2"/>
    <w:rsid w:val="00D007F9"/>
    <w:rsid w:val="00D04A61"/>
    <w:rsid w:val="00D1419D"/>
    <w:rsid w:val="00D15EA9"/>
    <w:rsid w:val="00D26476"/>
    <w:rsid w:val="00D3134F"/>
    <w:rsid w:val="00D31B6B"/>
    <w:rsid w:val="00D321B5"/>
    <w:rsid w:val="00D37817"/>
    <w:rsid w:val="00D404D6"/>
    <w:rsid w:val="00D52F2F"/>
    <w:rsid w:val="00D53157"/>
    <w:rsid w:val="00D55319"/>
    <w:rsid w:val="00D66EA3"/>
    <w:rsid w:val="00D70F5F"/>
    <w:rsid w:val="00D7572A"/>
    <w:rsid w:val="00D81543"/>
    <w:rsid w:val="00D94268"/>
    <w:rsid w:val="00D947AC"/>
    <w:rsid w:val="00D94EDD"/>
    <w:rsid w:val="00D95BF1"/>
    <w:rsid w:val="00DA5D4D"/>
    <w:rsid w:val="00DB0E4B"/>
    <w:rsid w:val="00DB1A72"/>
    <w:rsid w:val="00DB37AB"/>
    <w:rsid w:val="00DB3E63"/>
    <w:rsid w:val="00DB6B5E"/>
    <w:rsid w:val="00DC3EF0"/>
    <w:rsid w:val="00DC521A"/>
    <w:rsid w:val="00DC6185"/>
    <w:rsid w:val="00DD5D82"/>
    <w:rsid w:val="00DE07D7"/>
    <w:rsid w:val="00DE18AE"/>
    <w:rsid w:val="00DE265F"/>
    <w:rsid w:val="00DE39D4"/>
    <w:rsid w:val="00DE775D"/>
    <w:rsid w:val="00E02C8A"/>
    <w:rsid w:val="00E07137"/>
    <w:rsid w:val="00E103C4"/>
    <w:rsid w:val="00E1211C"/>
    <w:rsid w:val="00E12121"/>
    <w:rsid w:val="00E1287C"/>
    <w:rsid w:val="00E140D8"/>
    <w:rsid w:val="00E22C8C"/>
    <w:rsid w:val="00E252C1"/>
    <w:rsid w:val="00E338C7"/>
    <w:rsid w:val="00E40310"/>
    <w:rsid w:val="00E422EC"/>
    <w:rsid w:val="00E46438"/>
    <w:rsid w:val="00E474CC"/>
    <w:rsid w:val="00E6671F"/>
    <w:rsid w:val="00E74304"/>
    <w:rsid w:val="00E8025E"/>
    <w:rsid w:val="00E805E8"/>
    <w:rsid w:val="00E8316F"/>
    <w:rsid w:val="00E8519B"/>
    <w:rsid w:val="00E91F22"/>
    <w:rsid w:val="00E954D5"/>
    <w:rsid w:val="00EA3ACF"/>
    <w:rsid w:val="00EB0C86"/>
    <w:rsid w:val="00EB1316"/>
    <w:rsid w:val="00EB15FA"/>
    <w:rsid w:val="00EB2E20"/>
    <w:rsid w:val="00EB4643"/>
    <w:rsid w:val="00EC17A1"/>
    <w:rsid w:val="00EC19FF"/>
    <w:rsid w:val="00EC6F89"/>
    <w:rsid w:val="00EC788F"/>
    <w:rsid w:val="00EC7B08"/>
    <w:rsid w:val="00ED1D12"/>
    <w:rsid w:val="00ED24C9"/>
    <w:rsid w:val="00ED346B"/>
    <w:rsid w:val="00ED3F80"/>
    <w:rsid w:val="00EE1B8D"/>
    <w:rsid w:val="00EF3C61"/>
    <w:rsid w:val="00EF4C47"/>
    <w:rsid w:val="00EF579A"/>
    <w:rsid w:val="00EF5C48"/>
    <w:rsid w:val="00EF625A"/>
    <w:rsid w:val="00F04C0E"/>
    <w:rsid w:val="00F07C03"/>
    <w:rsid w:val="00F1630B"/>
    <w:rsid w:val="00F17B76"/>
    <w:rsid w:val="00F23C88"/>
    <w:rsid w:val="00F25D01"/>
    <w:rsid w:val="00F2744C"/>
    <w:rsid w:val="00F277F8"/>
    <w:rsid w:val="00F3210A"/>
    <w:rsid w:val="00F3667B"/>
    <w:rsid w:val="00F41D53"/>
    <w:rsid w:val="00F456BE"/>
    <w:rsid w:val="00F477E9"/>
    <w:rsid w:val="00F54335"/>
    <w:rsid w:val="00F55AD0"/>
    <w:rsid w:val="00F61EF8"/>
    <w:rsid w:val="00F6363F"/>
    <w:rsid w:val="00F65D44"/>
    <w:rsid w:val="00F72E70"/>
    <w:rsid w:val="00F75743"/>
    <w:rsid w:val="00F76689"/>
    <w:rsid w:val="00F770D9"/>
    <w:rsid w:val="00F77E88"/>
    <w:rsid w:val="00F85718"/>
    <w:rsid w:val="00F86415"/>
    <w:rsid w:val="00F9376B"/>
    <w:rsid w:val="00F9636E"/>
    <w:rsid w:val="00FA105E"/>
    <w:rsid w:val="00FA2278"/>
    <w:rsid w:val="00FA5981"/>
    <w:rsid w:val="00FA5F4F"/>
    <w:rsid w:val="00FB06F0"/>
    <w:rsid w:val="00FB5B8E"/>
    <w:rsid w:val="00FB7582"/>
    <w:rsid w:val="00FB7A1B"/>
    <w:rsid w:val="00FC664C"/>
    <w:rsid w:val="00FD1357"/>
    <w:rsid w:val="00FD6F4E"/>
    <w:rsid w:val="00FF1FBA"/>
    <w:rsid w:val="00FF3DD9"/>
    <w:rsid w:val="00FF4041"/>
    <w:rsid w:val="00FF5B81"/>
    <w:rsid w:val="01625553"/>
    <w:rsid w:val="14DAB981"/>
    <w:rsid w:val="1DE2A9D4"/>
    <w:rsid w:val="3A107B40"/>
    <w:rsid w:val="3B81E3EB"/>
    <w:rsid w:val="4D6BCCED"/>
    <w:rsid w:val="4F3B45FB"/>
    <w:rsid w:val="4F8D66E4"/>
    <w:rsid w:val="50D94E6D"/>
    <w:rsid w:val="57C55D98"/>
    <w:rsid w:val="63AA22FB"/>
    <w:rsid w:val="6928F26A"/>
    <w:rsid w:val="698C873D"/>
    <w:rsid w:val="6DEB42D6"/>
    <w:rsid w:val="6EBC52B0"/>
    <w:rsid w:val="73C032B8"/>
    <w:rsid w:val="76CF6980"/>
    <w:rsid w:val="7D5EF6F1"/>
    <w:rsid w:val="7D62B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EF9A"/>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46"/>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aliases w:val="Bullet,Bullet 1,Bullet Styl,Colorful List - Accent 12,Dot pt,Indicator Text,L,List Paragrap,List Paragraph Char Char Char,List Paragraph1,List Paragraph12,List Paragraph2,No Spacing1,No Spacing11,Normal numbered,Numbered Para 1,OBC Bullet"/>
    <w:basedOn w:val="Normal"/>
    <w:link w:val="ListParagraphChar"/>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customStyle="1" w:styleId="ListParagraphChar">
    <w:name w:val="List Paragraph Char"/>
    <w:aliases w:val="Bullet Char,Bullet 1 Char,Bullet Styl Char,Colorful List - Accent 12 Char,Dot pt Char,Indicator Text Char,L Char,List Paragrap Char,List Paragraph Char Char Char Char,List Paragraph1 Char,List Paragraph12 Char,List Paragraph2 Char"/>
    <w:link w:val="ListParagraph"/>
    <w:uiPriority w:val="34"/>
    <w:qFormat/>
    <w:locked/>
    <w:rsid w:val="00414CBB"/>
  </w:style>
  <w:style w:type="character" w:styleId="CommentReference">
    <w:name w:val="annotation reference"/>
    <w:basedOn w:val="DefaultParagraphFont"/>
    <w:uiPriority w:val="99"/>
    <w:semiHidden/>
    <w:unhideWhenUsed/>
    <w:rsid w:val="00E02C8A"/>
    <w:rPr>
      <w:sz w:val="16"/>
      <w:szCs w:val="16"/>
    </w:rPr>
  </w:style>
  <w:style w:type="paragraph" w:styleId="CommentText">
    <w:name w:val="annotation text"/>
    <w:basedOn w:val="Normal"/>
    <w:link w:val="CommentTextChar"/>
    <w:uiPriority w:val="99"/>
    <w:unhideWhenUsed/>
    <w:rsid w:val="00E02C8A"/>
    <w:pPr>
      <w:spacing w:line="240" w:lineRule="auto"/>
    </w:pPr>
    <w:rPr>
      <w:sz w:val="20"/>
      <w:szCs w:val="20"/>
    </w:rPr>
  </w:style>
  <w:style w:type="character" w:customStyle="1" w:styleId="CommentTextChar">
    <w:name w:val="Comment Text Char"/>
    <w:basedOn w:val="DefaultParagraphFont"/>
    <w:link w:val="CommentText"/>
    <w:uiPriority w:val="99"/>
    <w:rsid w:val="00E02C8A"/>
    <w:rPr>
      <w:sz w:val="20"/>
      <w:szCs w:val="20"/>
    </w:rPr>
  </w:style>
  <w:style w:type="paragraph" w:styleId="CommentSubject">
    <w:name w:val="annotation subject"/>
    <w:basedOn w:val="CommentText"/>
    <w:next w:val="CommentText"/>
    <w:link w:val="CommentSubjectChar"/>
    <w:uiPriority w:val="99"/>
    <w:semiHidden/>
    <w:unhideWhenUsed/>
    <w:rsid w:val="00E02C8A"/>
    <w:rPr>
      <w:b/>
      <w:bCs/>
    </w:rPr>
  </w:style>
  <w:style w:type="character" w:customStyle="1" w:styleId="CommentSubjectChar">
    <w:name w:val="Comment Subject Char"/>
    <w:basedOn w:val="CommentTextChar"/>
    <w:link w:val="CommentSubject"/>
    <w:uiPriority w:val="99"/>
    <w:semiHidden/>
    <w:rsid w:val="00E02C8A"/>
    <w:rPr>
      <w:b/>
      <w:bCs/>
      <w:sz w:val="20"/>
      <w:szCs w:val="20"/>
    </w:rPr>
  </w:style>
  <w:style w:type="paragraph" w:styleId="Revision">
    <w:name w:val="Revision"/>
    <w:hidden/>
    <w:uiPriority w:val="99"/>
    <w:semiHidden/>
    <w:rsid w:val="003A1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200" b="0" i="1">
                <a:effectLst/>
              </a:rPr>
              <a:t>New students choosing STEM and construction undergraduate degree subjects at UCLan</a:t>
            </a:r>
          </a:p>
        </c:rich>
      </c:tx>
      <c:layout>
        <c:manualLayout>
          <c:xMode val="edge"/>
          <c:yMode val="edge"/>
          <c:x val="0.11855898221055701"/>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5092957130358707E-2"/>
          <c:y val="0.15321428571428572"/>
          <c:w val="0.88944407990667829"/>
          <c:h val="0.7112192225971754"/>
        </c:manualLayout>
      </c:layout>
      <c:barChart>
        <c:barDir val="col"/>
        <c:grouping val="clustered"/>
        <c:varyColors val="0"/>
        <c:ser>
          <c:idx val="0"/>
          <c:order val="0"/>
          <c:tx>
            <c:strRef>
              <c:f>Sheet1!$B$1</c:f>
              <c:strCache>
                <c:ptCount val="1"/>
                <c:pt idx="0">
                  <c:v>12/13</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Sheet1!$B$2</c:f>
              <c:numCache>
                <c:formatCode>#,##0</c:formatCode>
                <c:ptCount val="1"/>
                <c:pt idx="0">
                  <c:v>1359</c:v>
                </c:pt>
              </c:numCache>
            </c:numRef>
          </c:val>
          <c:extLst>
            <c:ext xmlns:c16="http://schemas.microsoft.com/office/drawing/2014/chart" uri="{C3380CC4-5D6E-409C-BE32-E72D297353CC}">
              <c16:uniqueId val="{00000000-C59C-4F9B-891D-471A0E05085D}"/>
            </c:ext>
          </c:extLst>
        </c:ser>
        <c:ser>
          <c:idx val="1"/>
          <c:order val="1"/>
          <c:tx>
            <c:strRef>
              <c:f>Sheet1!$C$1</c:f>
              <c:strCache>
                <c:ptCount val="1"/>
                <c:pt idx="0">
                  <c:v>13/14</c:v>
                </c:pt>
              </c:strCache>
            </c:strRef>
          </c:tx>
          <c:spPr>
            <a:solidFill>
              <a:schemeClr val="dk1">
                <a:tint val="55000"/>
              </a:schemeClr>
            </a:solidFill>
            <a:ln>
              <a:noFill/>
            </a:ln>
            <a:effectLst/>
          </c:spPr>
          <c:invertIfNegative val="0"/>
          <c:cat>
            <c:numRef>
              <c:f>Sheet1!$A$2</c:f>
              <c:numCache>
                <c:formatCode>General</c:formatCode>
                <c:ptCount val="1"/>
              </c:numCache>
            </c:numRef>
          </c:cat>
          <c:val>
            <c:numRef>
              <c:f>Sheet1!$C$2</c:f>
              <c:numCache>
                <c:formatCode>#,##0</c:formatCode>
                <c:ptCount val="1"/>
                <c:pt idx="0">
                  <c:v>1431</c:v>
                </c:pt>
              </c:numCache>
            </c:numRef>
          </c:val>
          <c:extLst>
            <c:ext xmlns:c16="http://schemas.microsoft.com/office/drawing/2014/chart" uri="{C3380CC4-5D6E-409C-BE32-E72D297353CC}">
              <c16:uniqueId val="{00000001-C59C-4F9B-891D-471A0E05085D}"/>
            </c:ext>
          </c:extLst>
        </c:ser>
        <c:ser>
          <c:idx val="2"/>
          <c:order val="2"/>
          <c:tx>
            <c:strRef>
              <c:f>Sheet1!$D$1</c:f>
              <c:strCache>
                <c:ptCount val="1"/>
                <c:pt idx="0">
                  <c:v>14/15</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Sheet1!$D$2</c:f>
              <c:numCache>
                <c:formatCode>#,##0</c:formatCode>
                <c:ptCount val="1"/>
                <c:pt idx="0">
                  <c:v>1988</c:v>
                </c:pt>
              </c:numCache>
            </c:numRef>
          </c:val>
          <c:extLst>
            <c:ext xmlns:c16="http://schemas.microsoft.com/office/drawing/2014/chart" uri="{C3380CC4-5D6E-409C-BE32-E72D297353CC}">
              <c16:uniqueId val="{00000002-C59C-4F9B-891D-471A0E05085D}"/>
            </c:ext>
          </c:extLst>
        </c:ser>
        <c:ser>
          <c:idx val="3"/>
          <c:order val="3"/>
          <c:tx>
            <c:strRef>
              <c:f>Sheet1!$E$1</c:f>
              <c:strCache>
                <c:ptCount val="1"/>
                <c:pt idx="0">
                  <c:v>15/16</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Sheet1!$E$2</c:f>
              <c:numCache>
                <c:formatCode>#,##0</c:formatCode>
                <c:ptCount val="1"/>
                <c:pt idx="0">
                  <c:v>2146</c:v>
                </c:pt>
              </c:numCache>
            </c:numRef>
          </c:val>
          <c:extLst>
            <c:ext xmlns:c16="http://schemas.microsoft.com/office/drawing/2014/chart" uri="{C3380CC4-5D6E-409C-BE32-E72D297353CC}">
              <c16:uniqueId val="{00000003-C59C-4F9B-891D-471A0E05085D}"/>
            </c:ext>
          </c:extLst>
        </c:ser>
        <c:ser>
          <c:idx val="4"/>
          <c:order val="4"/>
          <c:tx>
            <c:strRef>
              <c:f>Sheet1!$F$1</c:f>
              <c:strCache>
                <c:ptCount val="1"/>
                <c:pt idx="0">
                  <c:v>16/17</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Sheet1!$F$2</c:f>
              <c:numCache>
                <c:formatCode>#,##0</c:formatCode>
                <c:ptCount val="1"/>
                <c:pt idx="0">
                  <c:v>3120</c:v>
                </c:pt>
              </c:numCache>
            </c:numRef>
          </c:val>
          <c:extLst>
            <c:ext xmlns:c16="http://schemas.microsoft.com/office/drawing/2014/chart" uri="{C3380CC4-5D6E-409C-BE32-E72D297353CC}">
              <c16:uniqueId val="{00000004-C59C-4F9B-891D-471A0E05085D}"/>
            </c:ext>
          </c:extLst>
        </c:ser>
        <c:ser>
          <c:idx val="5"/>
          <c:order val="5"/>
          <c:tx>
            <c:strRef>
              <c:f>Sheet1!$G$1</c:f>
              <c:strCache>
                <c:ptCount val="1"/>
                <c:pt idx="0">
                  <c:v>17/18</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Sheet1!$G$2</c:f>
              <c:numCache>
                <c:formatCode>#,##0</c:formatCode>
                <c:ptCount val="1"/>
                <c:pt idx="0">
                  <c:v>3268</c:v>
                </c:pt>
              </c:numCache>
            </c:numRef>
          </c:val>
          <c:extLst>
            <c:ext xmlns:c16="http://schemas.microsoft.com/office/drawing/2014/chart" uri="{C3380CC4-5D6E-409C-BE32-E72D297353CC}">
              <c16:uniqueId val="{00000000-E7E8-4BA8-9A3F-1C605289904A}"/>
            </c:ext>
          </c:extLst>
        </c:ser>
        <c:ser>
          <c:idx val="6"/>
          <c:order val="6"/>
          <c:tx>
            <c:strRef>
              <c:f>Sheet1!$H$1</c:f>
              <c:strCache>
                <c:ptCount val="1"/>
                <c:pt idx="0">
                  <c:v>18/19</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Sheet1!$H$2</c:f>
              <c:numCache>
                <c:formatCode>#,##0</c:formatCode>
                <c:ptCount val="1"/>
                <c:pt idx="0">
                  <c:v>4235</c:v>
                </c:pt>
              </c:numCache>
            </c:numRef>
          </c:val>
          <c:extLst>
            <c:ext xmlns:c16="http://schemas.microsoft.com/office/drawing/2014/chart" uri="{C3380CC4-5D6E-409C-BE32-E72D297353CC}">
              <c16:uniqueId val="{00000001-E7E8-4BA8-9A3F-1C605289904A}"/>
            </c:ext>
          </c:extLst>
        </c:ser>
        <c:ser>
          <c:idx val="7"/>
          <c:order val="7"/>
          <c:tx>
            <c:strRef>
              <c:f>Sheet1!$I$1</c:f>
              <c:strCache>
                <c:ptCount val="1"/>
                <c:pt idx="0">
                  <c:v>19/20</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Sheet1!$I$2</c:f>
              <c:numCache>
                <c:formatCode>#,##0</c:formatCode>
                <c:ptCount val="1"/>
                <c:pt idx="0">
                  <c:v>4510</c:v>
                </c:pt>
              </c:numCache>
            </c:numRef>
          </c:val>
          <c:extLst>
            <c:ext xmlns:c16="http://schemas.microsoft.com/office/drawing/2014/chart" uri="{C3380CC4-5D6E-409C-BE32-E72D297353CC}">
              <c16:uniqueId val="{00000002-E7E8-4BA8-9A3F-1C605289904A}"/>
            </c:ext>
          </c:extLst>
        </c:ser>
        <c:ser>
          <c:idx val="8"/>
          <c:order val="8"/>
          <c:tx>
            <c:strRef>
              <c:f>Sheet1!$J$1</c:f>
              <c:strCache>
                <c:ptCount val="1"/>
                <c:pt idx="0">
                  <c:v>20/21</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Sheet1!$J$2</c:f>
              <c:numCache>
                <c:formatCode>#,##0</c:formatCode>
                <c:ptCount val="1"/>
                <c:pt idx="0">
                  <c:v>4955</c:v>
                </c:pt>
              </c:numCache>
            </c:numRef>
          </c:val>
          <c:extLst>
            <c:ext xmlns:c16="http://schemas.microsoft.com/office/drawing/2014/chart" uri="{C3380CC4-5D6E-409C-BE32-E72D297353CC}">
              <c16:uniqueId val="{00000003-E7E8-4BA8-9A3F-1C605289904A}"/>
            </c:ext>
          </c:extLst>
        </c:ser>
        <c:ser>
          <c:idx val="9"/>
          <c:order val="9"/>
          <c:tx>
            <c:strRef>
              <c:f>Sheet1!$K$1</c:f>
              <c:strCache>
                <c:ptCount val="1"/>
                <c:pt idx="0">
                  <c:v>21/22</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Sheet1!$K$2</c:f>
              <c:numCache>
                <c:formatCode>#,##0</c:formatCode>
                <c:ptCount val="1"/>
                <c:pt idx="0">
                  <c:v>4935</c:v>
                </c:pt>
              </c:numCache>
            </c:numRef>
          </c:val>
          <c:extLst>
            <c:ext xmlns:c16="http://schemas.microsoft.com/office/drawing/2014/chart" uri="{C3380CC4-5D6E-409C-BE32-E72D297353CC}">
              <c16:uniqueId val="{00000004-E7E8-4BA8-9A3F-1C605289904A}"/>
            </c:ext>
          </c:extLst>
        </c:ser>
        <c:dLbls>
          <c:showLegendKey val="0"/>
          <c:showVal val="0"/>
          <c:showCatName val="0"/>
          <c:showSerName val="0"/>
          <c:showPercent val="0"/>
          <c:showBubbleSize val="0"/>
        </c:dLbls>
        <c:gapWidth val="219"/>
        <c:overlap val="-27"/>
        <c:axId val="878521536"/>
        <c:axId val="878522784"/>
      </c:barChart>
      <c:catAx>
        <c:axId val="8785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22784"/>
        <c:crosses val="autoZero"/>
        <c:auto val="1"/>
        <c:lblAlgn val="ctr"/>
        <c:lblOffset val="100"/>
        <c:noMultiLvlLbl val="0"/>
      </c:catAx>
      <c:valAx>
        <c:axId val="878522784"/>
        <c:scaling>
          <c:orientation val="minMax"/>
          <c:max val="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0" i="0" u="none" strike="noStrike" baseline="0">
                <a:effectLst/>
              </a:rPr>
              <a:t>Job Seekers Allowance and Universal Credit claimants </a:t>
            </a:r>
            <a:endParaRPr lang="en-GB" sz="1100" b="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Apr-13</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Sheet1!$B$2</c:f>
              <c:numCache>
                <c:formatCode>#,##0</c:formatCode>
                <c:ptCount val="1"/>
                <c:pt idx="0">
                  <c:v>4803</c:v>
                </c:pt>
              </c:numCache>
            </c:numRef>
          </c:val>
          <c:extLst>
            <c:ext xmlns:c16="http://schemas.microsoft.com/office/drawing/2014/chart" uri="{C3380CC4-5D6E-409C-BE32-E72D297353CC}">
              <c16:uniqueId val="{00000000-2B83-4A00-B72B-1C19DE3E047A}"/>
            </c:ext>
          </c:extLst>
        </c:ser>
        <c:ser>
          <c:idx val="1"/>
          <c:order val="1"/>
          <c:tx>
            <c:strRef>
              <c:f>Sheet1!$C$1</c:f>
              <c:strCache>
                <c:ptCount val="1"/>
                <c:pt idx="0">
                  <c:v>Apr-14</c:v>
                </c:pt>
              </c:strCache>
            </c:strRef>
          </c:tx>
          <c:spPr>
            <a:solidFill>
              <a:schemeClr val="dk1">
                <a:tint val="55000"/>
              </a:schemeClr>
            </a:solidFill>
            <a:ln>
              <a:noFill/>
            </a:ln>
            <a:effectLst/>
          </c:spPr>
          <c:invertIfNegative val="0"/>
          <c:cat>
            <c:numRef>
              <c:f>Sheet1!$A$2</c:f>
              <c:numCache>
                <c:formatCode>General</c:formatCode>
                <c:ptCount val="1"/>
              </c:numCache>
            </c:numRef>
          </c:cat>
          <c:val>
            <c:numRef>
              <c:f>Sheet1!$C$2</c:f>
              <c:numCache>
                <c:formatCode>#,##0</c:formatCode>
                <c:ptCount val="1"/>
                <c:pt idx="0">
                  <c:v>3705</c:v>
                </c:pt>
              </c:numCache>
            </c:numRef>
          </c:val>
          <c:extLst>
            <c:ext xmlns:c16="http://schemas.microsoft.com/office/drawing/2014/chart" uri="{C3380CC4-5D6E-409C-BE32-E72D297353CC}">
              <c16:uniqueId val="{00000001-2B83-4A00-B72B-1C19DE3E047A}"/>
            </c:ext>
          </c:extLst>
        </c:ser>
        <c:ser>
          <c:idx val="2"/>
          <c:order val="2"/>
          <c:tx>
            <c:strRef>
              <c:f>Sheet1!$D$1</c:f>
              <c:strCache>
                <c:ptCount val="1"/>
                <c:pt idx="0">
                  <c:v>Apr-15</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Sheet1!$D$2</c:f>
              <c:numCache>
                <c:formatCode>#,##0</c:formatCode>
                <c:ptCount val="1"/>
                <c:pt idx="0">
                  <c:v>2855</c:v>
                </c:pt>
              </c:numCache>
            </c:numRef>
          </c:val>
          <c:extLst>
            <c:ext xmlns:c16="http://schemas.microsoft.com/office/drawing/2014/chart" uri="{C3380CC4-5D6E-409C-BE32-E72D297353CC}">
              <c16:uniqueId val="{00000002-2B83-4A00-B72B-1C19DE3E047A}"/>
            </c:ext>
          </c:extLst>
        </c:ser>
        <c:ser>
          <c:idx val="3"/>
          <c:order val="3"/>
          <c:tx>
            <c:strRef>
              <c:f>Sheet1!$E$1</c:f>
              <c:strCache>
                <c:ptCount val="1"/>
                <c:pt idx="0">
                  <c:v>Apr-16</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Sheet1!$E$2</c:f>
              <c:numCache>
                <c:formatCode>#,##0</c:formatCode>
                <c:ptCount val="1"/>
                <c:pt idx="0">
                  <c:v>2900</c:v>
                </c:pt>
              </c:numCache>
            </c:numRef>
          </c:val>
          <c:extLst>
            <c:ext xmlns:c16="http://schemas.microsoft.com/office/drawing/2014/chart" uri="{C3380CC4-5D6E-409C-BE32-E72D297353CC}">
              <c16:uniqueId val="{00000003-2B83-4A00-B72B-1C19DE3E047A}"/>
            </c:ext>
          </c:extLst>
        </c:ser>
        <c:ser>
          <c:idx val="4"/>
          <c:order val="4"/>
          <c:tx>
            <c:strRef>
              <c:f>Sheet1!$F$1</c:f>
              <c:strCache>
                <c:ptCount val="1"/>
                <c:pt idx="0">
                  <c:v>Apr-17</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Sheet1!$F$2</c:f>
              <c:numCache>
                <c:formatCode>#,##0</c:formatCode>
                <c:ptCount val="1"/>
                <c:pt idx="0">
                  <c:v>3175</c:v>
                </c:pt>
              </c:numCache>
            </c:numRef>
          </c:val>
          <c:extLst>
            <c:ext xmlns:c16="http://schemas.microsoft.com/office/drawing/2014/chart" uri="{C3380CC4-5D6E-409C-BE32-E72D297353CC}">
              <c16:uniqueId val="{00000004-2B83-4A00-B72B-1C19DE3E047A}"/>
            </c:ext>
          </c:extLst>
        </c:ser>
        <c:ser>
          <c:idx val="5"/>
          <c:order val="5"/>
          <c:tx>
            <c:strRef>
              <c:f>Sheet1!$G$1</c:f>
              <c:strCache>
                <c:ptCount val="1"/>
                <c:pt idx="0">
                  <c:v>Apr-18</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Sheet1!$G$2</c:f>
              <c:numCache>
                <c:formatCode>#,##0</c:formatCode>
                <c:ptCount val="1"/>
                <c:pt idx="0">
                  <c:v>3325</c:v>
                </c:pt>
              </c:numCache>
            </c:numRef>
          </c:val>
          <c:extLst>
            <c:ext xmlns:c16="http://schemas.microsoft.com/office/drawing/2014/chart" uri="{C3380CC4-5D6E-409C-BE32-E72D297353CC}">
              <c16:uniqueId val="{00000005-2B83-4A00-B72B-1C19DE3E047A}"/>
            </c:ext>
          </c:extLst>
        </c:ser>
        <c:ser>
          <c:idx val="6"/>
          <c:order val="6"/>
          <c:tx>
            <c:strRef>
              <c:f>Sheet1!$H$1</c:f>
              <c:strCache>
                <c:ptCount val="1"/>
                <c:pt idx="0">
                  <c:v>Apr-19</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Sheet1!$H$2</c:f>
              <c:numCache>
                <c:formatCode>#,##0</c:formatCode>
                <c:ptCount val="1"/>
                <c:pt idx="0">
                  <c:v>4275</c:v>
                </c:pt>
              </c:numCache>
            </c:numRef>
          </c:val>
          <c:extLst>
            <c:ext xmlns:c16="http://schemas.microsoft.com/office/drawing/2014/chart" uri="{C3380CC4-5D6E-409C-BE32-E72D297353CC}">
              <c16:uniqueId val="{00000006-2B83-4A00-B72B-1C19DE3E047A}"/>
            </c:ext>
          </c:extLst>
        </c:ser>
        <c:ser>
          <c:idx val="7"/>
          <c:order val="7"/>
          <c:tx>
            <c:strRef>
              <c:f>Sheet1!$I$1</c:f>
              <c:strCache>
                <c:ptCount val="1"/>
                <c:pt idx="0">
                  <c:v>Apr-20</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Sheet1!$I$2</c:f>
              <c:numCache>
                <c:formatCode>#,##0</c:formatCode>
                <c:ptCount val="1"/>
                <c:pt idx="0">
                  <c:v>7955</c:v>
                </c:pt>
              </c:numCache>
            </c:numRef>
          </c:val>
          <c:extLst>
            <c:ext xmlns:c16="http://schemas.microsoft.com/office/drawing/2014/chart" uri="{C3380CC4-5D6E-409C-BE32-E72D297353CC}">
              <c16:uniqueId val="{00000007-2B83-4A00-B72B-1C19DE3E047A}"/>
            </c:ext>
          </c:extLst>
        </c:ser>
        <c:ser>
          <c:idx val="8"/>
          <c:order val="8"/>
          <c:tx>
            <c:strRef>
              <c:f>Sheet1!$J$1</c:f>
              <c:strCache>
                <c:ptCount val="1"/>
                <c:pt idx="0">
                  <c:v>Apr-21</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Sheet1!$J$2</c:f>
              <c:numCache>
                <c:formatCode>#,##0</c:formatCode>
                <c:ptCount val="1"/>
                <c:pt idx="0">
                  <c:v>8853</c:v>
                </c:pt>
              </c:numCache>
            </c:numRef>
          </c:val>
          <c:extLst>
            <c:ext xmlns:c16="http://schemas.microsoft.com/office/drawing/2014/chart" uri="{C3380CC4-5D6E-409C-BE32-E72D297353CC}">
              <c16:uniqueId val="{00000008-2B83-4A00-B72B-1C19DE3E047A}"/>
            </c:ext>
          </c:extLst>
        </c:ser>
        <c:ser>
          <c:idx val="9"/>
          <c:order val="9"/>
          <c:tx>
            <c:strRef>
              <c:f>Sheet1!$K$1</c:f>
              <c:strCache>
                <c:ptCount val="1"/>
                <c:pt idx="0">
                  <c:v>Apr-22</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Sheet1!$K$2</c:f>
              <c:numCache>
                <c:formatCode>#,##0</c:formatCode>
                <c:ptCount val="1"/>
                <c:pt idx="0">
                  <c:v>5830</c:v>
                </c:pt>
              </c:numCache>
            </c:numRef>
          </c:val>
          <c:extLst>
            <c:ext xmlns:c16="http://schemas.microsoft.com/office/drawing/2014/chart" uri="{C3380CC4-5D6E-409C-BE32-E72D297353CC}">
              <c16:uniqueId val="{00000009-2B83-4A00-B72B-1C19DE3E047A}"/>
            </c:ext>
          </c:extLst>
        </c:ser>
        <c:ser>
          <c:idx val="10"/>
          <c:order val="10"/>
          <c:tx>
            <c:strRef>
              <c:f>Sheet1!$L$1</c:f>
              <c:strCache>
                <c:ptCount val="1"/>
                <c:pt idx="0">
                  <c:v>Apr-23</c:v>
                </c:pt>
              </c:strCache>
            </c:strRef>
          </c:tx>
          <c:spPr>
            <a:solidFill>
              <a:sysClr val="window" lastClr="FFFFFF">
                <a:lumMod val="75000"/>
              </a:sysClr>
            </a:solidFill>
            <a:ln>
              <a:noFill/>
            </a:ln>
            <a:effectLst/>
          </c:spPr>
          <c:invertIfNegative val="0"/>
          <c:cat>
            <c:numRef>
              <c:f>Sheet1!$A$2</c:f>
              <c:numCache>
                <c:formatCode>General</c:formatCode>
                <c:ptCount val="1"/>
              </c:numCache>
            </c:numRef>
          </c:cat>
          <c:val>
            <c:numRef>
              <c:f>Sheet1!$L$2</c:f>
              <c:numCache>
                <c:formatCode>General</c:formatCode>
                <c:ptCount val="1"/>
                <c:pt idx="0">
                  <c:v>6030</c:v>
                </c:pt>
              </c:numCache>
            </c:numRef>
          </c:val>
          <c:extLst>
            <c:ext xmlns:c16="http://schemas.microsoft.com/office/drawing/2014/chart" uri="{C3380CC4-5D6E-409C-BE32-E72D297353CC}">
              <c16:uniqueId val="{00000000-0C79-4268-B2CC-693B6A1F8419}"/>
            </c:ext>
          </c:extLst>
        </c:ser>
        <c:dLbls>
          <c:showLegendKey val="0"/>
          <c:showVal val="0"/>
          <c:showCatName val="0"/>
          <c:showSerName val="0"/>
          <c:showPercent val="0"/>
          <c:showBubbleSize val="0"/>
        </c:dLbls>
        <c:gapWidth val="219"/>
        <c:overlap val="-27"/>
        <c:axId val="878521536"/>
        <c:axId val="878522784"/>
      </c:barChart>
      <c:catAx>
        <c:axId val="8785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22784"/>
        <c:crosses val="autoZero"/>
        <c:auto val="1"/>
        <c:lblAlgn val="ctr"/>
        <c:lblOffset val="100"/>
        <c:noMultiLvlLbl val="0"/>
      </c:catAx>
      <c:valAx>
        <c:axId val="878522784"/>
        <c:scaling>
          <c:orientation val="minMax"/>
          <c:max val="9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Apprenticeship starts for 16-24 year olds in Construction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13/14</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Sheet1!$B$2</c:f>
              <c:numCache>
                <c:formatCode>General</c:formatCode>
                <c:ptCount val="1"/>
                <c:pt idx="0">
                  <c:v>101</c:v>
                </c:pt>
              </c:numCache>
            </c:numRef>
          </c:val>
          <c:extLst>
            <c:ext xmlns:c16="http://schemas.microsoft.com/office/drawing/2014/chart" uri="{C3380CC4-5D6E-409C-BE32-E72D297353CC}">
              <c16:uniqueId val="{00000000-442D-4253-850D-1B85A169B332}"/>
            </c:ext>
          </c:extLst>
        </c:ser>
        <c:ser>
          <c:idx val="1"/>
          <c:order val="1"/>
          <c:tx>
            <c:strRef>
              <c:f>Sheet1!$C$1</c:f>
              <c:strCache>
                <c:ptCount val="1"/>
                <c:pt idx="0">
                  <c:v>14/15</c:v>
                </c:pt>
              </c:strCache>
            </c:strRef>
          </c:tx>
          <c:spPr>
            <a:solidFill>
              <a:schemeClr val="dk1">
                <a:tint val="55000"/>
              </a:schemeClr>
            </a:solidFill>
            <a:ln>
              <a:noFill/>
            </a:ln>
            <a:effectLst/>
          </c:spPr>
          <c:invertIfNegative val="0"/>
          <c:cat>
            <c:numRef>
              <c:f>Sheet1!$A$2</c:f>
              <c:numCache>
                <c:formatCode>General</c:formatCode>
                <c:ptCount val="1"/>
              </c:numCache>
            </c:numRef>
          </c:cat>
          <c:val>
            <c:numRef>
              <c:f>Sheet1!$C$2</c:f>
              <c:numCache>
                <c:formatCode>General</c:formatCode>
                <c:ptCount val="1"/>
                <c:pt idx="0">
                  <c:v>133</c:v>
                </c:pt>
              </c:numCache>
            </c:numRef>
          </c:val>
          <c:extLst>
            <c:ext xmlns:c16="http://schemas.microsoft.com/office/drawing/2014/chart" uri="{C3380CC4-5D6E-409C-BE32-E72D297353CC}">
              <c16:uniqueId val="{00000001-442D-4253-850D-1B85A169B332}"/>
            </c:ext>
          </c:extLst>
        </c:ser>
        <c:ser>
          <c:idx val="2"/>
          <c:order val="2"/>
          <c:tx>
            <c:strRef>
              <c:f>Sheet1!$D$1</c:f>
              <c:strCache>
                <c:ptCount val="1"/>
                <c:pt idx="0">
                  <c:v>15/16</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Sheet1!$D$2</c:f>
              <c:numCache>
                <c:formatCode>General</c:formatCode>
                <c:ptCount val="1"/>
                <c:pt idx="0">
                  <c:v>120</c:v>
                </c:pt>
              </c:numCache>
            </c:numRef>
          </c:val>
          <c:extLst>
            <c:ext xmlns:c16="http://schemas.microsoft.com/office/drawing/2014/chart" uri="{C3380CC4-5D6E-409C-BE32-E72D297353CC}">
              <c16:uniqueId val="{00000002-442D-4253-850D-1B85A169B332}"/>
            </c:ext>
          </c:extLst>
        </c:ser>
        <c:ser>
          <c:idx val="3"/>
          <c:order val="3"/>
          <c:tx>
            <c:strRef>
              <c:f>Sheet1!$E$1</c:f>
              <c:strCache>
                <c:ptCount val="1"/>
                <c:pt idx="0">
                  <c:v>16/17</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Sheet1!$E$2</c:f>
              <c:numCache>
                <c:formatCode>General</c:formatCode>
                <c:ptCount val="1"/>
                <c:pt idx="0">
                  <c:v>132</c:v>
                </c:pt>
              </c:numCache>
            </c:numRef>
          </c:val>
          <c:extLst>
            <c:ext xmlns:c16="http://schemas.microsoft.com/office/drawing/2014/chart" uri="{C3380CC4-5D6E-409C-BE32-E72D297353CC}">
              <c16:uniqueId val="{00000003-442D-4253-850D-1B85A169B332}"/>
            </c:ext>
          </c:extLst>
        </c:ser>
        <c:ser>
          <c:idx val="4"/>
          <c:order val="4"/>
          <c:tx>
            <c:strRef>
              <c:f>Sheet1!$F$1</c:f>
              <c:strCache>
                <c:ptCount val="1"/>
                <c:pt idx="0">
                  <c:v>17/18</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Sheet1!$F$2</c:f>
              <c:numCache>
                <c:formatCode>General</c:formatCode>
                <c:ptCount val="1"/>
                <c:pt idx="0">
                  <c:v>124</c:v>
                </c:pt>
              </c:numCache>
            </c:numRef>
          </c:val>
          <c:extLst>
            <c:ext xmlns:c16="http://schemas.microsoft.com/office/drawing/2014/chart" uri="{C3380CC4-5D6E-409C-BE32-E72D297353CC}">
              <c16:uniqueId val="{00000004-442D-4253-850D-1B85A169B332}"/>
            </c:ext>
          </c:extLst>
        </c:ser>
        <c:ser>
          <c:idx val="5"/>
          <c:order val="5"/>
          <c:tx>
            <c:strRef>
              <c:f>Sheet1!$G$1</c:f>
              <c:strCache>
                <c:ptCount val="1"/>
                <c:pt idx="0">
                  <c:v>18/19</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Sheet1!$G$2</c:f>
              <c:numCache>
                <c:formatCode>General</c:formatCode>
                <c:ptCount val="1"/>
                <c:pt idx="0">
                  <c:v>113</c:v>
                </c:pt>
              </c:numCache>
            </c:numRef>
          </c:val>
          <c:extLst>
            <c:ext xmlns:c16="http://schemas.microsoft.com/office/drawing/2014/chart" uri="{C3380CC4-5D6E-409C-BE32-E72D297353CC}">
              <c16:uniqueId val="{00000005-442D-4253-850D-1B85A169B332}"/>
            </c:ext>
          </c:extLst>
        </c:ser>
        <c:ser>
          <c:idx val="6"/>
          <c:order val="6"/>
          <c:tx>
            <c:strRef>
              <c:f>Sheet1!$H$1</c:f>
              <c:strCache>
                <c:ptCount val="1"/>
                <c:pt idx="0">
                  <c:v>19/20</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Sheet1!$H$2</c:f>
              <c:numCache>
                <c:formatCode>General</c:formatCode>
                <c:ptCount val="1"/>
                <c:pt idx="0">
                  <c:v>124</c:v>
                </c:pt>
              </c:numCache>
            </c:numRef>
          </c:val>
          <c:extLst>
            <c:ext xmlns:c16="http://schemas.microsoft.com/office/drawing/2014/chart" uri="{C3380CC4-5D6E-409C-BE32-E72D297353CC}">
              <c16:uniqueId val="{00000006-442D-4253-850D-1B85A169B332}"/>
            </c:ext>
          </c:extLst>
        </c:ser>
        <c:ser>
          <c:idx val="7"/>
          <c:order val="7"/>
          <c:tx>
            <c:strRef>
              <c:f>Sheet1!$I$1</c:f>
              <c:strCache>
                <c:ptCount val="1"/>
                <c:pt idx="0">
                  <c:v>20/21</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Sheet1!$I$2</c:f>
              <c:numCache>
                <c:formatCode>General</c:formatCode>
                <c:ptCount val="1"/>
                <c:pt idx="0">
                  <c:v>140</c:v>
                </c:pt>
              </c:numCache>
            </c:numRef>
          </c:val>
          <c:extLst>
            <c:ext xmlns:c16="http://schemas.microsoft.com/office/drawing/2014/chart" uri="{C3380CC4-5D6E-409C-BE32-E72D297353CC}">
              <c16:uniqueId val="{00000007-442D-4253-850D-1B85A169B332}"/>
            </c:ext>
          </c:extLst>
        </c:ser>
        <c:ser>
          <c:idx val="8"/>
          <c:order val="8"/>
          <c:tx>
            <c:strRef>
              <c:f>Sheet1!$J$1</c:f>
              <c:strCache>
                <c:ptCount val="1"/>
                <c:pt idx="0">
                  <c:v>21/22</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Sheet1!$J$2</c:f>
              <c:numCache>
                <c:formatCode>General</c:formatCode>
                <c:ptCount val="1"/>
                <c:pt idx="0">
                  <c:v>170</c:v>
                </c:pt>
              </c:numCache>
            </c:numRef>
          </c:val>
          <c:extLst>
            <c:ext xmlns:c16="http://schemas.microsoft.com/office/drawing/2014/chart" uri="{C3380CC4-5D6E-409C-BE32-E72D297353CC}">
              <c16:uniqueId val="{00000008-442D-4253-850D-1B85A169B332}"/>
            </c:ext>
          </c:extLst>
        </c:ser>
        <c:dLbls>
          <c:showLegendKey val="0"/>
          <c:showVal val="0"/>
          <c:showCatName val="0"/>
          <c:showSerName val="0"/>
          <c:showPercent val="0"/>
          <c:showBubbleSize val="0"/>
        </c:dLbls>
        <c:gapWidth val="219"/>
        <c:overlap val="-27"/>
        <c:axId val="878521536"/>
        <c:axId val="878522784"/>
      </c:barChart>
      <c:catAx>
        <c:axId val="8785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2784"/>
        <c:crosses val="autoZero"/>
        <c:auto val="1"/>
        <c:lblAlgn val="ctr"/>
        <c:lblOffset val="100"/>
        <c:noMultiLvlLbl val="0"/>
      </c:catAx>
      <c:valAx>
        <c:axId val="87852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Apprenticeship starts (16-24 yr. olds) in all subjects excluding Construction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13/14</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Sheet1!$B$2</c:f>
              <c:numCache>
                <c:formatCode>General</c:formatCode>
                <c:ptCount val="1"/>
                <c:pt idx="0">
                  <c:v>672</c:v>
                </c:pt>
              </c:numCache>
            </c:numRef>
          </c:val>
          <c:extLst>
            <c:ext xmlns:c16="http://schemas.microsoft.com/office/drawing/2014/chart" uri="{C3380CC4-5D6E-409C-BE32-E72D297353CC}">
              <c16:uniqueId val="{00000000-8202-4907-9992-0E02974D1F4F}"/>
            </c:ext>
          </c:extLst>
        </c:ser>
        <c:ser>
          <c:idx val="1"/>
          <c:order val="1"/>
          <c:tx>
            <c:strRef>
              <c:f>Sheet1!$C$1</c:f>
              <c:strCache>
                <c:ptCount val="1"/>
                <c:pt idx="0">
                  <c:v>14/15</c:v>
                </c:pt>
              </c:strCache>
            </c:strRef>
          </c:tx>
          <c:spPr>
            <a:solidFill>
              <a:schemeClr val="dk1">
                <a:tint val="55000"/>
              </a:schemeClr>
            </a:solidFill>
            <a:ln>
              <a:noFill/>
            </a:ln>
            <a:effectLst/>
          </c:spPr>
          <c:invertIfNegative val="0"/>
          <c:cat>
            <c:numRef>
              <c:f>Sheet1!$A$2</c:f>
              <c:numCache>
                <c:formatCode>General</c:formatCode>
                <c:ptCount val="1"/>
              </c:numCache>
            </c:numRef>
          </c:cat>
          <c:val>
            <c:numRef>
              <c:f>Sheet1!$C$2</c:f>
              <c:numCache>
                <c:formatCode>#,##0</c:formatCode>
                <c:ptCount val="1"/>
                <c:pt idx="0">
                  <c:v>1531</c:v>
                </c:pt>
              </c:numCache>
            </c:numRef>
          </c:val>
          <c:extLst>
            <c:ext xmlns:c16="http://schemas.microsoft.com/office/drawing/2014/chart" uri="{C3380CC4-5D6E-409C-BE32-E72D297353CC}">
              <c16:uniqueId val="{00000001-8202-4907-9992-0E02974D1F4F}"/>
            </c:ext>
          </c:extLst>
        </c:ser>
        <c:ser>
          <c:idx val="2"/>
          <c:order val="2"/>
          <c:tx>
            <c:strRef>
              <c:f>Sheet1!$D$1</c:f>
              <c:strCache>
                <c:ptCount val="1"/>
                <c:pt idx="0">
                  <c:v>15/16</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Sheet1!$D$2</c:f>
              <c:numCache>
                <c:formatCode>#,##0</c:formatCode>
                <c:ptCount val="1"/>
                <c:pt idx="0">
                  <c:v>1630</c:v>
                </c:pt>
              </c:numCache>
            </c:numRef>
          </c:val>
          <c:extLst>
            <c:ext xmlns:c16="http://schemas.microsoft.com/office/drawing/2014/chart" uri="{C3380CC4-5D6E-409C-BE32-E72D297353CC}">
              <c16:uniqueId val="{00000002-8202-4907-9992-0E02974D1F4F}"/>
            </c:ext>
          </c:extLst>
        </c:ser>
        <c:ser>
          <c:idx val="3"/>
          <c:order val="3"/>
          <c:tx>
            <c:strRef>
              <c:f>Sheet1!$E$1</c:f>
              <c:strCache>
                <c:ptCount val="1"/>
                <c:pt idx="0">
                  <c:v>16/17</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Sheet1!$E$2</c:f>
              <c:numCache>
                <c:formatCode>#,##0</c:formatCode>
                <c:ptCount val="1"/>
                <c:pt idx="0">
                  <c:v>1453</c:v>
                </c:pt>
              </c:numCache>
            </c:numRef>
          </c:val>
          <c:extLst>
            <c:ext xmlns:c16="http://schemas.microsoft.com/office/drawing/2014/chart" uri="{C3380CC4-5D6E-409C-BE32-E72D297353CC}">
              <c16:uniqueId val="{00000003-8202-4907-9992-0E02974D1F4F}"/>
            </c:ext>
          </c:extLst>
        </c:ser>
        <c:ser>
          <c:idx val="4"/>
          <c:order val="4"/>
          <c:tx>
            <c:strRef>
              <c:f>Sheet1!$F$1</c:f>
              <c:strCache>
                <c:ptCount val="1"/>
                <c:pt idx="0">
                  <c:v>17/18</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Sheet1!$F$2</c:f>
              <c:numCache>
                <c:formatCode>#,##0</c:formatCode>
                <c:ptCount val="1"/>
                <c:pt idx="0">
                  <c:v>1068</c:v>
                </c:pt>
              </c:numCache>
            </c:numRef>
          </c:val>
          <c:extLst>
            <c:ext xmlns:c16="http://schemas.microsoft.com/office/drawing/2014/chart" uri="{C3380CC4-5D6E-409C-BE32-E72D297353CC}">
              <c16:uniqueId val="{00000004-8202-4907-9992-0E02974D1F4F}"/>
            </c:ext>
          </c:extLst>
        </c:ser>
        <c:ser>
          <c:idx val="5"/>
          <c:order val="5"/>
          <c:tx>
            <c:strRef>
              <c:f>Sheet1!$G$1</c:f>
              <c:strCache>
                <c:ptCount val="1"/>
                <c:pt idx="0">
                  <c:v>18/19</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Sheet1!$G$2</c:f>
              <c:numCache>
                <c:formatCode>#,##0</c:formatCode>
                <c:ptCount val="1"/>
                <c:pt idx="0">
                  <c:v>1150</c:v>
                </c:pt>
              </c:numCache>
            </c:numRef>
          </c:val>
          <c:extLst>
            <c:ext xmlns:c16="http://schemas.microsoft.com/office/drawing/2014/chart" uri="{C3380CC4-5D6E-409C-BE32-E72D297353CC}">
              <c16:uniqueId val="{00000005-8202-4907-9992-0E02974D1F4F}"/>
            </c:ext>
          </c:extLst>
        </c:ser>
        <c:ser>
          <c:idx val="6"/>
          <c:order val="6"/>
          <c:tx>
            <c:strRef>
              <c:f>Sheet1!$H$1</c:f>
              <c:strCache>
                <c:ptCount val="1"/>
                <c:pt idx="0">
                  <c:v>19/20</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Sheet1!$H$2</c:f>
              <c:numCache>
                <c:formatCode>General</c:formatCode>
                <c:ptCount val="1"/>
                <c:pt idx="0">
                  <c:v>872</c:v>
                </c:pt>
              </c:numCache>
            </c:numRef>
          </c:val>
          <c:extLst>
            <c:ext xmlns:c16="http://schemas.microsoft.com/office/drawing/2014/chart" uri="{C3380CC4-5D6E-409C-BE32-E72D297353CC}">
              <c16:uniqueId val="{00000006-8202-4907-9992-0E02974D1F4F}"/>
            </c:ext>
          </c:extLst>
        </c:ser>
        <c:ser>
          <c:idx val="7"/>
          <c:order val="7"/>
          <c:tx>
            <c:strRef>
              <c:f>Sheet1!$I$1</c:f>
              <c:strCache>
                <c:ptCount val="1"/>
                <c:pt idx="0">
                  <c:v>20/21</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Sheet1!$I$2</c:f>
              <c:numCache>
                <c:formatCode>General</c:formatCode>
                <c:ptCount val="1"/>
                <c:pt idx="0">
                  <c:v>853</c:v>
                </c:pt>
              </c:numCache>
            </c:numRef>
          </c:val>
          <c:extLst>
            <c:ext xmlns:c16="http://schemas.microsoft.com/office/drawing/2014/chart" uri="{C3380CC4-5D6E-409C-BE32-E72D297353CC}">
              <c16:uniqueId val="{00000007-8202-4907-9992-0E02974D1F4F}"/>
            </c:ext>
          </c:extLst>
        </c:ser>
        <c:ser>
          <c:idx val="8"/>
          <c:order val="8"/>
          <c:tx>
            <c:strRef>
              <c:f>Sheet1!$J$1</c:f>
              <c:strCache>
                <c:ptCount val="1"/>
                <c:pt idx="0">
                  <c:v>21/22</c:v>
                </c:pt>
              </c:strCache>
            </c:strRef>
          </c:tx>
          <c:spPr>
            <a:solidFill>
              <a:schemeClr val="bg1">
                <a:lumMod val="75000"/>
              </a:schemeClr>
            </a:solidFill>
            <a:ln>
              <a:noFill/>
            </a:ln>
            <a:effectLst/>
          </c:spPr>
          <c:invertIfNegative val="0"/>
          <c:cat>
            <c:numRef>
              <c:f>Sheet1!$A$2</c:f>
              <c:numCache>
                <c:formatCode>General</c:formatCode>
                <c:ptCount val="1"/>
              </c:numCache>
            </c:numRef>
          </c:cat>
          <c:val>
            <c:numRef>
              <c:f>Sheet1!$J$2</c:f>
              <c:numCache>
                <c:formatCode>General</c:formatCode>
                <c:ptCount val="1"/>
                <c:pt idx="0">
                  <c:v>970</c:v>
                </c:pt>
              </c:numCache>
            </c:numRef>
          </c:val>
          <c:extLst>
            <c:ext xmlns:c16="http://schemas.microsoft.com/office/drawing/2014/chart" uri="{C3380CC4-5D6E-409C-BE32-E72D297353CC}">
              <c16:uniqueId val="{00000008-8202-4907-9992-0E02974D1F4F}"/>
            </c:ext>
          </c:extLst>
        </c:ser>
        <c:dLbls>
          <c:showLegendKey val="0"/>
          <c:showVal val="0"/>
          <c:showCatName val="0"/>
          <c:showSerName val="0"/>
          <c:showPercent val="0"/>
          <c:showBubbleSize val="0"/>
        </c:dLbls>
        <c:gapWidth val="219"/>
        <c:overlap val="-27"/>
        <c:axId val="878521536"/>
        <c:axId val="878522784"/>
      </c:barChart>
      <c:catAx>
        <c:axId val="8785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22784"/>
        <c:crosses val="autoZero"/>
        <c:auto val="1"/>
        <c:lblAlgn val="ctr"/>
        <c:lblOffset val="100"/>
        <c:noMultiLvlLbl val="0"/>
      </c:catAx>
      <c:valAx>
        <c:axId val="878522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b="0" i="0" u="none" strike="noStrike" baseline="0">
                <a:effectLst/>
              </a:rPr>
              <a:t>Number of interventions/ activities promoting City Deal and construction career opportunities </a:t>
            </a:r>
            <a:endParaRPr lang="en-GB" sz="1050" b="0">
              <a:effectLst/>
            </a:endParaRPr>
          </a:p>
        </c:rich>
      </c:tx>
      <c:layout>
        <c:manualLayout>
          <c:xMode val="edge"/>
          <c:yMode val="edge"/>
          <c:x val="0.1255670384951881"/>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9305920093321672E-2"/>
          <c:y val="0.14924603174603174"/>
          <c:w val="0.89523111694371538"/>
          <c:h val="0.71510592425946762"/>
        </c:manualLayout>
      </c:layout>
      <c:barChart>
        <c:barDir val="col"/>
        <c:grouping val="clustered"/>
        <c:varyColors val="0"/>
        <c:ser>
          <c:idx val="0"/>
          <c:order val="0"/>
          <c:tx>
            <c:strRef>
              <c:f>Sheet1!#REF!</c:f>
              <c:strCache>
                <c:ptCount val="1"/>
                <c:pt idx="0">
                  <c:v>#REF!</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Young People</c:v>
                </c:pt>
                <c:pt idx="1">
                  <c:v>Teachers/IAG practitioners</c:v>
                </c:pt>
                <c:pt idx="2">
                  <c:v>Parents</c:v>
                </c:pt>
                <c:pt idx="3">
                  <c:v>Education Institutions</c:v>
                </c:pt>
              </c:strCache>
            </c:strRef>
          </c:cat>
          <c:val>
            <c:numRef>
              <c:f>Sheet1!$B$2:$B$5</c:f>
              <c:numCache>
                <c:formatCode>General</c:formatCode>
                <c:ptCount val="4"/>
                <c:pt idx="0">
                  <c:v>660</c:v>
                </c:pt>
                <c:pt idx="1">
                  <c:v>150</c:v>
                </c:pt>
                <c:pt idx="2">
                  <c:v>100</c:v>
                </c:pt>
                <c:pt idx="3">
                  <c:v>70</c:v>
                </c:pt>
              </c:numCache>
            </c:numRef>
          </c:val>
          <c:extLst>
            <c:ext xmlns:c16="http://schemas.microsoft.com/office/drawing/2014/chart" uri="{C3380CC4-5D6E-409C-BE32-E72D297353CC}">
              <c16:uniqueId val="{00000000-3262-4135-8BCE-E4DA0351BF74}"/>
            </c:ext>
          </c:extLst>
        </c:ser>
        <c:ser>
          <c:idx val="1"/>
          <c:order val="1"/>
          <c:tx>
            <c:strRef>
              <c:f>Sheet1!#REF!</c:f>
              <c:strCache>
                <c:ptCount val="1"/>
                <c:pt idx="0">
                  <c:v>#REF!</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Young People</c:v>
                </c:pt>
                <c:pt idx="1">
                  <c:v>Teachers/IAG practitioners</c:v>
                </c:pt>
                <c:pt idx="2">
                  <c:v>Parents</c:v>
                </c:pt>
                <c:pt idx="3">
                  <c:v>Education Institutions</c:v>
                </c:pt>
              </c:strCache>
            </c:strRef>
          </c:cat>
          <c:val>
            <c:numRef>
              <c:f>Sheet1!$C$2:$C$5</c:f>
              <c:numCache>
                <c:formatCode>General</c:formatCode>
                <c:ptCount val="4"/>
                <c:pt idx="0">
                  <c:v>760</c:v>
                </c:pt>
                <c:pt idx="1">
                  <c:v>161</c:v>
                </c:pt>
                <c:pt idx="2">
                  <c:v>262</c:v>
                </c:pt>
                <c:pt idx="3">
                  <c:v>105</c:v>
                </c:pt>
              </c:numCache>
            </c:numRef>
          </c:val>
          <c:extLst>
            <c:ext xmlns:c16="http://schemas.microsoft.com/office/drawing/2014/chart" uri="{C3380CC4-5D6E-409C-BE32-E72D297353CC}">
              <c16:uniqueId val="{00000001-3262-4135-8BCE-E4DA0351BF74}"/>
            </c:ext>
          </c:extLst>
        </c:ser>
        <c:ser>
          <c:idx val="2"/>
          <c:order val="2"/>
          <c:tx>
            <c:strRef>
              <c:f>Sheet1!#REF!</c:f>
              <c:strCache>
                <c:ptCount val="1"/>
                <c:pt idx="0">
                  <c:v>#REF!</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Young People</c:v>
                </c:pt>
                <c:pt idx="1">
                  <c:v>Teachers/IAG practitioners</c:v>
                </c:pt>
                <c:pt idx="2">
                  <c:v>Parents</c:v>
                </c:pt>
                <c:pt idx="3">
                  <c:v>Education Institutions</c:v>
                </c:pt>
              </c:strCache>
            </c:strRef>
          </c:cat>
          <c:val>
            <c:numRef>
              <c:f>Sheet1!$D$2:$D$5</c:f>
              <c:numCache>
                <c:formatCode>General</c:formatCode>
                <c:ptCount val="4"/>
                <c:pt idx="0" formatCode="#,##0">
                  <c:v>4048</c:v>
                </c:pt>
                <c:pt idx="1">
                  <c:v>133</c:v>
                </c:pt>
                <c:pt idx="2">
                  <c:v>471</c:v>
                </c:pt>
                <c:pt idx="3">
                  <c:v>336</c:v>
                </c:pt>
              </c:numCache>
            </c:numRef>
          </c:val>
          <c:extLst>
            <c:ext xmlns:c16="http://schemas.microsoft.com/office/drawing/2014/chart" uri="{C3380CC4-5D6E-409C-BE32-E72D297353CC}">
              <c16:uniqueId val="{00000002-3262-4135-8BCE-E4DA0351BF74}"/>
            </c:ext>
          </c:extLst>
        </c:ser>
        <c:ser>
          <c:idx val="3"/>
          <c:order val="3"/>
          <c:tx>
            <c:strRef>
              <c:f>Sheet1!$B$1</c:f>
              <c:strCache>
                <c:ptCount val="1"/>
                <c:pt idx="0">
                  <c:v>15/16</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Young People</c:v>
                </c:pt>
                <c:pt idx="1">
                  <c:v>Teachers/IAG practitioners</c:v>
                </c:pt>
                <c:pt idx="2">
                  <c:v>Parents</c:v>
                </c:pt>
                <c:pt idx="3">
                  <c:v>Education Institutions</c:v>
                </c:pt>
              </c:strCache>
            </c:strRef>
          </c:cat>
          <c:val>
            <c:numRef>
              <c:f>Sheet1!$E$2:$E$5</c:f>
              <c:numCache>
                <c:formatCode>General</c:formatCode>
                <c:ptCount val="4"/>
                <c:pt idx="0" formatCode="#,##0">
                  <c:v>5117</c:v>
                </c:pt>
                <c:pt idx="1">
                  <c:v>251</c:v>
                </c:pt>
                <c:pt idx="2">
                  <c:v>337</c:v>
                </c:pt>
                <c:pt idx="3">
                  <c:v>248</c:v>
                </c:pt>
              </c:numCache>
            </c:numRef>
          </c:val>
          <c:extLst>
            <c:ext xmlns:c16="http://schemas.microsoft.com/office/drawing/2014/chart" uri="{C3380CC4-5D6E-409C-BE32-E72D297353CC}">
              <c16:uniqueId val="{00000003-3262-4135-8BCE-E4DA0351BF74}"/>
            </c:ext>
          </c:extLst>
        </c:ser>
        <c:ser>
          <c:idx val="4"/>
          <c:order val="4"/>
          <c:tx>
            <c:strRef>
              <c:f>Sheet1!$C$1</c:f>
              <c:strCache>
                <c:ptCount val="1"/>
                <c:pt idx="0">
                  <c:v>16/17</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Young People</c:v>
                </c:pt>
                <c:pt idx="1">
                  <c:v>Teachers/IAG practitioners</c:v>
                </c:pt>
                <c:pt idx="2">
                  <c:v>Parents</c:v>
                </c:pt>
                <c:pt idx="3">
                  <c:v>Education Institutions</c:v>
                </c:pt>
              </c:strCache>
            </c:strRef>
          </c:cat>
          <c:val>
            <c:numRef>
              <c:f>Sheet1!$F$2:$F$5</c:f>
              <c:numCache>
                <c:formatCode>General</c:formatCode>
                <c:ptCount val="4"/>
              </c:numCache>
            </c:numRef>
          </c:val>
          <c:extLst>
            <c:ext xmlns:c16="http://schemas.microsoft.com/office/drawing/2014/chart" uri="{C3380CC4-5D6E-409C-BE32-E72D297353CC}">
              <c16:uniqueId val="{00000004-3262-4135-8BCE-E4DA0351BF74}"/>
            </c:ext>
          </c:extLst>
        </c:ser>
        <c:dLbls>
          <c:dLblPos val="outEnd"/>
          <c:showLegendKey val="0"/>
          <c:showVal val="1"/>
          <c:showCatName val="0"/>
          <c:showSerName val="0"/>
          <c:showPercent val="0"/>
          <c:showBubbleSize val="0"/>
        </c:dLbls>
        <c:gapWidth val="219"/>
        <c:overlap val="-27"/>
        <c:axId val="878521536"/>
        <c:axId val="878522784"/>
      </c:barChart>
      <c:catAx>
        <c:axId val="8785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522784"/>
        <c:crosses val="autoZero"/>
        <c:auto val="1"/>
        <c:lblAlgn val="ctr"/>
        <c:lblOffset val="100"/>
        <c:noMultiLvlLbl val="0"/>
      </c:catAx>
      <c:valAx>
        <c:axId val="878522784"/>
        <c:scaling>
          <c:orientation val="minMax"/>
          <c:max val="52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8521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F11D-DD36-4589-B544-D47E1C13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Parry, Sarah</cp:lastModifiedBy>
  <cp:revision>3</cp:revision>
  <cp:lastPrinted>2015-01-28T14:27:00Z</cp:lastPrinted>
  <dcterms:created xsi:type="dcterms:W3CDTF">2023-11-17T16:40:00Z</dcterms:created>
  <dcterms:modified xsi:type="dcterms:W3CDTF">2023-11-20T14:02:00Z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Employment &amp; Skills Monitoring Report</vt:lpwstr>
  </property>
  <property fmtid="{D5CDD505-2E9C-101B-9397-08002B2CF9AE}" pid="4" name="LeadOfficer">
    <vt:lpwstr>Martin Hill</vt:lpwstr>
  </property>
  <property fmtid="{D5CDD505-2E9C-101B-9397-08002B2CF9AE}" pid="5" name="LeadOfficerEmail">
    <vt:lpwstr>martin.hill@lancashirelep.co.uk</vt:lpwstr>
  </property>
  <property fmtid="{D5CDD505-2E9C-101B-9397-08002B2CF9AE}" pid="6" name="LeadOfficerTel">
    <vt:lpwstr/>
  </property>
  <property fmtid="{D5CDD505-2E9C-101B-9397-08002B2CF9AE}" pid="7" name="MeetingDate">
    <vt:lpwstr>Tuesday, 15 March 2022</vt:lpwstr>
  </property>
  <property fmtid="{D5CDD505-2E9C-101B-9397-08002B2CF9AE}" pid="8" name="TitusGUID">
    <vt:lpwstr>b16076df-281e-485b-ac3b-6fbc29115d7d</vt:lpwstr>
  </property>
</Properties>
</file>